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EF906" w14:textId="77777777" w:rsidR="00DE290F" w:rsidRPr="00DE290F" w:rsidRDefault="00DE290F" w:rsidP="00DE290F">
      <w:pPr>
        <w:suppressAutoHyphens w:val="0"/>
        <w:ind w:left="5670"/>
        <w:rPr>
          <w:lang w:eastAsia="en-US"/>
        </w:rPr>
      </w:pPr>
      <w:r w:rsidRPr="00DE290F">
        <w:rPr>
          <w:lang w:eastAsia="en-US"/>
        </w:rPr>
        <w:t>PATVIRTINTA</w:t>
      </w:r>
    </w:p>
    <w:p w14:paraId="76540FB4" w14:textId="77777777" w:rsidR="00DE290F" w:rsidRPr="00DE290F" w:rsidRDefault="00DE290F" w:rsidP="00DE290F">
      <w:pPr>
        <w:suppressAutoHyphens w:val="0"/>
        <w:ind w:left="5670"/>
        <w:rPr>
          <w:lang w:eastAsia="en-US"/>
        </w:rPr>
      </w:pPr>
      <w:r w:rsidRPr="00DE290F">
        <w:rPr>
          <w:lang w:eastAsia="en-US"/>
        </w:rPr>
        <w:t xml:space="preserve">Skuodo rajono savivaldybės tarybos </w:t>
      </w:r>
    </w:p>
    <w:p w14:paraId="11EB52E6" w14:textId="001BF5A8" w:rsidR="00DE290F" w:rsidRPr="00DE290F" w:rsidRDefault="00DE290F" w:rsidP="00DE290F">
      <w:pPr>
        <w:suppressAutoHyphens w:val="0"/>
        <w:ind w:left="5670"/>
        <w:rPr>
          <w:lang w:eastAsia="en-US"/>
        </w:rPr>
      </w:pPr>
      <w:r w:rsidRPr="00DE290F">
        <w:rPr>
          <w:lang w:eastAsia="en-US"/>
        </w:rPr>
        <w:t>202</w:t>
      </w:r>
      <w:r>
        <w:rPr>
          <w:lang w:eastAsia="en-US"/>
        </w:rPr>
        <w:t>4</w:t>
      </w:r>
      <w:r w:rsidRPr="00DE290F">
        <w:rPr>
          <w:lang w:eastAsia="en-US"/>
        </w:rPr>
        <w:t xml:space="preserve"> m. </w:t>
      </w:r>
      <w:r>
        <w:rPr>
          <w:lang w:eastAsia="en-US"/>
        </w:rPr>
        <w:t>kovo</w:t>
      </w:r>
      <w:r w:rsidR="00AD5450">
        <w:rPr>
          <w:lang w:eastAsia="en-US"/>
        </w:rPr>
        <w:t xml:space="preserve"> 19 </w:t>
      </w:r>
      <w:r w:rsidRPr="00DE290F">
        <w:rPr>
          <w:lang w:eastAsia="en-US"/>
        </w:rPr>
        <w:t xml:space="preserve">d. sprendimu </w:t>
      </w:r>
      <w:bookmarkStart w:id="0" w:name="SHOWS"/>
      <w:r w:rsidRPr="00DE290F">
        <w:rPr>
          <w:lang w:eastAsia="en-US"/>
        </w:rPr>
        <w:t xml:space="preserve">Nr. </w:t>
      </w:r>
      <w:bookmarkEnd w:id="0"/>
      <w:r w:rsidRPr="00DE290F">
        <w:rPr>
          <w:lang w:eastAsia="en-US"/>
        </w:rPr>
        <w:t>T</w:t>
      </w:r>
      <w:r w:rsidR="00063109">
        <w:rPr>
          <w:lang w:eastAsia="en-US"/>
        </w:rPr>
        <w:t>10</w:t>
      </w:r>
      <w:r w:rsidRPr="00DE290F">
        <w:rPr>
          <w:lang w:eastAsia="en-US"/>
        </w:rPr>
        <w:t>-</w:t>
      </w:r>
      <w:r w:rsidR="00AD5450">
        <w:rPr>
          <w:lang w:eastAsia="en-US"/>
        </w:rPr>
        <w:t>45</w:t>
      </w:r>
      <w:r>
        <w:rPr>
          <w:lang w:eastAsia="en-US"/>
        </w:rPr>
        <w:t xml:space="preserve">       </w:t>
      </w:r>
    </w:p>
    <w:p w14:paraId="2246F6DA" w14:textId="77777777" w:rsidR="00AC5ECB" w:rsidRDefault="00AC5ECB">
      <w:pPr>
        <w:jc w:val="center"/>
        <w:rPr>
          <w:b/>
        </w:rPr>
      </w:pPr>
    </w:p>
    <w:p w14:paraId="57D45954" w14:textId="00BE5EC9" w:rsidR="00B34E55" w:rsidRPr="00AC5ECB" w:rsidRDefault="00000000">
      <w:pPr>
        <w:jc w:val="center"/>
        <w:rPr>
          <w:b/>
        </w:rPr>
      </w:pPr>
      <w:r w:rsidRPr="00AC5ECB">
        <w:rPr>
          <w:b/>
        </w:rPr>
        <w:t xml:space="preserve">SKUODO RAJONO SAVIVALDYBĖS KONTROLĖS IR AUDITO TARNYBOS </w:t>
      </w:r>
    </w:p>
    <w:p w14:paraId="57D45955" w14:textId="77777777" w:rsidR="00B34E55" w:rsidRPr="00AC5ECB" w:rsidRDefault="00000000">
      <w:pPr>
        <w:jc w:val="center"/>
        <w:rPr>
          <w:b/>
        </w:rPr>
      </w:pPr>
      <w:r w:rsidRPr="00AC5ECB">
        <w:rPr>
          <w:b/>
        </w:rPr>
        <w:t>2023 METŲ VEIKLOS ATASKAITA</w:t>
      </w:r>
    </w:p>
    <w:p w14:paraId="57D45956" w14:textId="77777777" w:rsidR="00B34E55" w:rsidRPr="00AC5ECB" w:rsidRDefault="00B34E55">
      <w:pPr>
        <w:jc w:val="center"/>
        <w:textAlignment w:val="baseline"/>
        <w:rPr>
          <w:b/>
          <w:iCs/>
        </w:rPr>
      </w:pPr>
    </w:p>
    <w:p w14:paraId="57D45957" w14:textId="77777777" w:rsidR="00B34E55" w:rsidRPr="00AC5ECB" w:rsidRDefault="00B34E55">
      <w:pPr>
        <w:jc w:val="center"/>
        <w:textAlignment w:val="baseline"/>
        <w:rPr>
          <w:b/>
          <w:iCs/>
        </w:rPr>
      </w:pPr>
    </w:p>
    <w:p w14:paraId="57D45958" w14:textId="77777777" w:rsidR="00B34E55" w:rsidRPr="00AC5ECB" w:rsidRDefault="00000000">
      <w:pPr>
        <w:jc w:val="center"/>
        <w:textAlignment w:val="baseline"/>
        <w:rPr>
          <w:b/>
        </w:rPr>
      </w:pPr>
      <w:r w:rsidRPr="00AC5ECB">
        <w:rPr>
          <w:b/>
        </w:rPr>
        <w:t>VADOVO PRANEŠIMAS</w:t>
      </w:r>
    </w:p>
    <w:p w14:paraId="57D45959" w14:textId="77777777" w:rsidR="00B34E55" w:rsidRPr="00AC5ECB" w:rsidRDefault="00B34E55">
      <w:pPr>
        <w:jc w:val="center"/>
        <w:textAlignment w:val="baseline"/>
        <w:rPr>
          <w:b/>
        </w:rPr>
      </w:pPr>
    </w:p>
    <w:p w14:paraId="57D4595A" w14:textId="77777777" w:rsidR="00B34E55" w:rsidRPr="00AC5ECB" w:rsidRDefault="00000000">
      <w:pPr>
        <w:ind w:firstLine="851"/>
        <w:jc w:val="both"/>
      </w:pPr>
      <w:r w:rsidRPr="00AC5ECB">
        <w:t xml:space="preserve">Skuodo rajono savivaldybės kontrolės ir audito tarnyba (toliau – Tarnyba) yra subjektas, prižiūrintis, ar teisėtai, efektyviai, ekonomiškai ir rezultatyviai valdomas ir naudojamas Skuodo rajono savivaldybės turtas, kaip vykdomas savivaldybės biudžetas ir naudojami kiti piniginiai ištekliai. </w:t>
      </w:r>
    </w:p>
    <w:p w14:paraId="57D4595B" w14:textId="77777777" w:rsidR="00B34E55" w:rsidRPr="00AC5ECB" w:rsidRDefault="00000000">
      <w:pPr>
        <w:ind w:firstLine="851"/>
        <w:jc w:val="both"/>
      </w:pPr>
      <w:r w:rsidRPr="00AC5ECB">
        <w:t xml:space="preserve">Tarnyba, įgyvendindama Lietuvos Respublikos vietos savivaldos įstatyme nustatytas funkcijas ir suteiktus įgaliojimus, atlieka išorės finansinius, veiklos ir atitikties auditus Skuodo rajono savivaldybės (toliau – Savivaldybės) administracijoje, Savivaldybės administravimo subjektuose ir Savivaldybės valdomose įmonėse bei teikia  Savivaldybės tarybos sprendimams priimti reikalingas išvadas. Finansinių auditų tikslas – pareikšti nepriklausomą nuomonę dėl finansinių ir kitų ataskaitų duomenų tikrumo ir teisingumo, veiklos auditų – įvertinti, ar audituojamas subjektas ekonomiškai, efektyviai ir rezultatyviai naudoja turimus išteklius, pateikti rekomendacijas paslaugų kokybei gerinti ar išlaidoms mažinti, veiklos efektyvumui ir rezultatyvumui didinti. Atitikties audito metu vertiname audituojamo subjekto veiklos atitiktį teisės aktų reikalavimams. </w:t>
      </w:r>
    </w:p>
    <w:p w14:paraId="57D4595C" w14:textId="49C56537" w:rsidR="00B34E55" w:rsidRPr="00AC5ECB" w:rsidRDefault="00000000">
      <w:pPr>
        <w:ind w:firstLine="851"/>
        <w:jc w:val="both"/>
      </w:pPr>
      <w:r w:rsidRPr="00AC5ECB">
        <w:t>Tarnybos veikla grindžiama nepriklausomumo, teisėtumo, viešumo, objektyvumo ir profesionalumo principais. Nuolat siekiame užtikrinti atliekamų auditų kokybę keldami kvalifikaciją</w:t>
      </w:r>
      <w:r w:rsidR="000B7C07">
        <w:t>.</w:t>
      </w:r>
      <w:r w:rsidRPr="00AC5ECB">
        <w:t xml:space="preserve"> Viešiname atliktų auditų ataskaitas bei išvadas Savivaldybės interneto svetainėje </w:t>
      </w:r>
      <w:hyperlink r:id="rId7">
        <w:r w:rsidRPr="00AC5ECB">
          <w:rPr>
            <w:rStyle w:val="Hipersaitas"/>
            <w:color w:val="auto"/>
          </w:rPr>
          <w:t>www.skuodas.lt</w:t>
        </w:r>
      </w:hyperlink>
      <w:r w:rsidRPr="00AC5ECB">
        <w:t>. Vertiname Savivaldybės tarybos kontrolės komiteto indėlį į efektyvią Tarnybos veiklą.</w:t>
      </w:r>
    </w:p>
    <w:p w14:paraId="57D4595D" w14:textId="1EF4DFAD" w:rsidR="00B34E55" w:rsidRPr="00AC5ECB" w:rsidRDefault="00000000">
      <w:pPr>
        <w:ind w:firstLine="851"/>
        <w:jc w:val="both"/>
      </w:pPr>
      <w:r w:rsidRPr="00AC5ECB">
        <w:t>Nuolat stebime įstaigų veiklos pokyčius po mūsų atliktų auditų tam pasitelkdami pateiktų rekomendacijų stebėseną. Kiekvienais metais rengiame rekomendacijų įgyvendinimo ataskaitą, kad galėtume įvertinti auditų kuriamą naudą savivaldai ir rajono bendruomenei. Rekomendacijų, kurių įgyvendinimo terminas baigėsi 2023 m. gruodžio 31 d., įgyvendinta 92,7 proc., iš dalies įgyvendinta – 2,4 proc.</w:t>
      </w:r>
      <w:r w:rsidR="000B7C07">
        <w:t>,</w:t>
      </w:r>
      <w:r w:rsidRPr="00AC5ECB">
        <w:t xml:space="preserve"> ir neįgyvendinta – 4,9 proc. Gaila, jog kai kurie audituoti subjektai ne visada stengiasi nusistatytu laiku įgyvendinti rekomendacijas, o tiesiog naudojasi galimybe pratęsti rekomendacijų įgyvendinimo terminą, taip rekomendaciją įgyvendindami po keletą metų. Šito priežastimi įvardijamas žmogiškųjų arba laiko išteklių trūkumas, tačiau tos problemos nesprendžiamos.</w:t>
      </w:r>
    </w:p>
    <w:p w14:paraId="57D4595E" w14:textId="77777777" w:rsidR="00B34E55" w:rsidRPr="00AC5ECB" w:rsidRDefault="00000000">
      <w:pPr>
        <w:ind w:firstLine="851"/>
        <w:jc w:val="both"/>
      </w:pPr>
      <w:r w:rsidRPr="00AC5ECB">
        <w:t xml:space="preserve">Tarnyba savo veikloje vadovaujasi metiniu veiklos planu, Lietuvos Respublikos valstybės kontrolės parengtomis metodikomis, Tarptautiniais audito standartais, veiklą reglamentuojančiais įstatymais ir kitais teisės aktais, Savivaldybės tarybos patvirtintais Tarnybos nuostatais. </w:t>
      </w:r>
    </w:p>
    <w:p w14:paraId="57D4595F" w14:textId="77777777" w:rsidR="00B34E55" w:rsidRPr="00AC5ECB" w:rsidRDefault="00000000">
      <w:pPr>
        <w:ind w:firstLine="851"/>
        <w:jc w:val="both"/>
      </w:pPr>
      <w:r w:rsidRPr="00AC5ECB">
        <w:t xml:space="preserve">Tarnybai ataskaitiniai metai buvo darbingi ir produktyvūs atliktų auditų prasme. Įgyvendinome visą suplanuotą veiklą, įvykdėme Savivaldybės tarybos pavedimą dėl neeilinio audito atlikimo, o lygiagrečiai atlikome ir bendras biudžetinės įstaigos funkcijas. </w:t>
      </w:r>
    </w:p>
    <w:p w14:paraId="57D45960" w14:textId="77777777" w:rsidR="00B34E55" w:rsidRPr="00AC5ECB" w:rsidRDefault="00000000">
      <w:pPr>
        <w:ind w:firstLine="851"/>
        <w:jc w:val="both"/>
      </w:pPr>
      <w:r w:rsidRPr="00AC5ECB">
        <w:t>Šioje ataskaitoje pateikiama informacija apie Tarnybos 2023 metų veiklą ir pasiektus rezultatus.</w:t>
      </w:r>
    </w:p>
    <w:p w14:paraId="57D45961" w14:textId="77777777" w:rsidR="00B34E55" w:rsidRPr="00AC5ECB" w:rsidRDefault="00B34E55">
      <w:pPr>
        <w:ind w:firstLine="1247"/>
        <w:jc w:val="both"/>
      </w:pPr>
    </w:p>
    <w:p w14:paraId="57D45962" w14:textId="77777777" w:rsidR="00B34E55" w:rsidRPr="00AC5ECB" w:rsidRDefault="00000000">
      <w:pPr>
        <w:jc w:val="center"/>
        <w:textAlignment w:val="baseline"/>
        <w:rPr>
          <w:b/>
          <w:bCs/>
        </w:rPr>
      </w:pPr>
      <w:r w:rsidRPr="00AC5ECB">
        <w:rPr>
          <w:b/>
          <w:bCs/>
        </w:rPr>
        <w:t>STRATEGINIŲ IR VEIKLOS TIKSLŲ ĮGYVENDINIMAS</w:t>
      </w:r>
    </w:p>
    <w:p w14:paraId="57D45963" w14:textId="77777777" w:rsidR="00B34E55" w:rsidRPr="00AC5ECB" w:rsidRDefault="00B34E55">
      <w:pPr>
        <w:ind w:firstLine="851"/>
        <w:jc w:val="both"/>
        <w:textAlignment w:val="baseline"/>
        <w:rPr>
          <w:b/>
          <w:bCs/>
        </w:rPr>
      </w:pPr>
    </w:p>
    <w:p w14:paraId="57D45964" w14:textId="77777777" w:rsidR="00B34E55" w:rsidRPr="00AC5ECB" w:rsidRDefault="00000000">
      <w:pPr>
        <w:spacing w:after="120"/>
        <w:jc w:val="both"/>
        <w:textAlignment w:val="baseline"/>
      </w:pPr>
      <w:r w:rsidRPr="00AC5ECB">
        <w:rPr>
          <w:b/>
          <w:bCs/>
        </w:rPr>
        <w:t>Programos įgyvendinimas</w:t>
      </w:r>
    </w:p>
    <w:p w14:paraId="57D45965" w14:textId="77777777" w:rsidR="00B34E55" w:rsidRPr="00AC5ECB" w:rsidRDefault="00000000">
      <w:pPr>
        <w:ind w:firstLine="851"/>
        <w:jc w:val="both"/>
        <w:textAlignment w:val="baseline"/>
      </w:pPr>
      <w:r w:rsidRPr="00AC5ECB">
        <w:t>Tarnyba, vykdydama veiklą, prisidėjo prie patvirtinto</w:t>
      </w:r>
      <w:r w:rsidRPr="00AC5ECB">
        <w:rPr>
          <w:rStyle w:val="FootnoteAnchor"/>
        </w:rPr>
        <w:footnoteReference w:id="1"/>
      </w:r>
      <w:r w:rsidRPr="00AC5ECB">
        <w:t xml:space="preserve"> Savivaldybės 2023–2025 metų strateginio veiklos plano įgyvendinimo.</w:t>
      </w:r>
    </w:p>
    <w:p w14:paraId="57D45966" w14:textId="77777777" w:rsidR="00B34E55" w:rsidRPr="00AC5ECB" w:rsidRDefault="00000000">
      <w:pPr>
        <w:tabs>
          <w:tab w:val="left" w:pos="851"/>
        </w:tabs>
        <w:spacing w:line="276" w:lineRule="auto"/>
        <w:ind w:firstLine="851"/>
        <w:contextualSpacing/>
        <w:jc w:val="both"/>
        <w:textAlignment w:val="baseline"/>
      </w:pPr>
      <w:r w:rsidRPr="00AC5ECB">
        <w:rPr>
          <w:rFonts w:eastAsia="Calibri"/>
          <w:iCs/>
          <w:lang w:eastAsia="en-US"/>
        </w:rPr>
        <w:t>4 programa.</w:t>
      </w:r>
      <w:r w:rsidRPr="00AC5ECB">
        <w:t xml:space="preserve"> </w:t>
      </w:r>
      <w:r w:rsidRPr="00AC5ECB">
        <w:rPr>
          <w:rFonts w:eastAsia="Calibri"/>
          <w:iCs/>
          <w:lang w:eastAsia="en-US"/>
        </w:rPr>
        <w:t>Savivaldybės valdymo ir pagrindinių funkcijų vykdymo programa.</w:t>
      </w:r>
    </w:p>
    <w:p w14:paraId="57D45967" w14:textId="3DB770E8" w:rsidR="00B34E55" w:rsidRPr="00AC5ECB" w:rsidRDefault="00000000">
      <w:pPr>
        <w:tabs>
          <w:tab w:val="left" w:pos="851"/>
        </w:tabs>
        <w:spacing w:line="276" w:lineRule="auto"/>
        <w:ind w:firstLine="709"/>
        <w:contextualSpacing/>
        <w:jc w:val="both"/>
        <w:textAlignment w:val="baseline"/>
      </w:pPr>
      <w:r w:rsidRPr="00AC5ECB">
        <w:rPr>
          <w:rFonts w:eastAsia="Calibri"/>
          <w:iCs/>
          <w:lang w:eastAsia="en-US"/>
        </w:rPr>
        <w:lastRenderedPageBreak/>
        <w:tab/>
        <w:t>4.1. tikslas.</w:t>
      </w:r>
      <w:r w:rsidRPr="00AC5ECB">
        <w:t xml:space="preserve"> </w:t>
      </w:r>
      <w:r w:rsidRPr="00AC5ECB">
        <w:rPr>
          <w:rFonts w:eastAsia="Calibri"/>
          <w:iCs/>
          <w:lang w:eastAsia="en-US"/>
        </w:rPr>
        <w:t xml:space="preserve">Organizuoti ir užtikrinti sklandų Savivaldybės įstaigų veiklos ir funkcijų įgyvendinimą. </w:t>
      </w:r>
    </w:p>
    <w:p w14:paraId="57D45968" w14:textId="77777777" w:rsidR="00B34E55" w:rsidRPr="00AC5ECB" w:rsidRDefault="00000000">
      <w:pPr>
        <w:tabs>
          <w:tab w:val="left" w:pos="851"/>
        </w:tabs>
        <w:spacing w:line="276" w:lineRule="auto"/>
        <w:ind w:firstLine="709"/>
        <w:contextualSpacing/>
        <w:jc w:val="both"/>
        <w:textAlignment w:val="baseline"/>
      </w:pPr>
      <w:r w:rsidRPr="00AC5ECB">
        <w:rPr>
          <w:rFonts w:eastAsia="Calibri"/>
          <w:iCs/>
          <w:lang w:eastAsia="en-US"/>
        </w:rPr>
        <w:tab/>
        <w:t>4.1.1. uždavinys.</w:t>
      </w:r>
      <w:r w:rsidRPr="00AC5ECB">
        <w:t xml:space="preserve"> </w:t>
      </w:r>
      <w:r w:rsidRPr="00AC5ECB">
        <w:rPr>
          <w:rFonts w:eastAsia="Calibri"/>
          <w:iCs/>
          <w:lang w:eastAsia="en-US"/>
        </w:rPr>
        <w:t>Sudaryti sąlygas sklandžiai įgyvendinti Savivaldybės savarankiškąsias funkcijas.</w:t>
      </w:r>
    </w:p>
    <w:p w14:paraId="57D45969" w14:textId="77777777" w:rsidR="00B34E55" w:rsidRPr="00AC5ECB" w:rsidRDefault="00000000">
      <w:pPr>
        <w:tabs>
          <w:tab w:val="left" w:pos="851"/>
        </w:tabs>
        <w:ind w:firstLine="709"/>
        <w:textAlignment w:val="baseline"/>
        <w:rPr>
          <w:bCs/>
          <w:iCs/>
        </w:rPr>
      </w:pPr>
      <w:r w:rsidRPr="00AC5ECB">
        <w:rPr>
          <w:bCs/>
          <w:iCs/>
        </w:rPr>
        <w:tab/>
        <w:t>4.1.1.4. priemonė.</w:t>
      </w:r>
      <w:r w:rsidRPr="00AC5ECB">
        <w:t xml:space="preserve"> Kontrolės ir audito tarnybos veiklos užtikrinimas</w:t>
      </w:r>
      <w:r w:rsidRPr="00AC5ECB">
        <w:rPr>
          <w:bCs/>
          <w:iCs/>
        </w:rPr>
        <w:t xml:space="preserve">. </w:t>
      </w:r>
    </w:p>
    <w:p w14:paraId="57D4596A" w14:textId="77777777" w:rsidR="00B34E55" w:rsidRPr="00AC5ECB" w:rsidRDefault="00B34E55">
      <w:pPr>
        <w:tabs>
          <w:tab w:val="left" w:pos="851"/>
        </w:tabs>
        <w:ind w:firstLine="851"/>
        <w:textAlignment w:val="baseline"/>
        <w:rPr>
          <w:bCs/>
          <w:iCs/>
        </w:rPr>
      </w:pPr>
    </w:p>
    <w:p w14:paraId="57D4596B" w14:textId="77777777" w:rsidR="00B34E55" w:rsidRPr="00AC5ECB" w:rsidRDefault="00000000">
      <w:pPr>
        <w:spacing w:after="120"/>
        <w:jc w:val="center"/>
        <w:textAlignment w:val="baseline"/>
        <w:rPr>
          <w:bCs/>
          <w:iCs/>
        </w:rPr>
      </w:pPr>
      <w:r w:rsidRPr="00AC5ECB">
        <w:rPr>
          <w:bCs/>
          <w:iCs/>
        </w:rPr>
        <w:t>1 lentelė. Stebėsenos rodiklių planinės ir faktinės reikšmės</w:t>
      </w:r>
    </w:p>
    <w:tbl>
      <w:tblPr>
        <w:tblW w:w="9487" w:type="dxa"/>
        <w:jc w:val="center"/>
        <w:tblLayout w:type="fixed"/>
        <w:tblLook w:val="04A0" w:firstRow="1" w:lastRow="0" w:firstColumn="1" w:lastColumn="0" w:noHBand="0" w:noVBand="1"/>
      </w:tblPr>
      <w:tblGrid>
        <w:gridCol w:w="2008"/>
        <w:gridCol w:w="944"/>
        <w:gridCol w:w="945"/>
        <w:gridCol w:w="1060"/>
        <w:gridCol w:w="992"/>
        <w:gridCol w:w="992"/>
        <w:gridCol w:w="2546"/>
      </w:tblGrid>
      <w:tr w:rsidR="00AC5ECB" w:rsidRPr="00AC5ECB" w14:paraId="57D45971" w14:textId="77777777">
        <w:trPr>
          <w:jc w:val="center"/>
        </w:trPr>
        <w:tc>
          <w:tcPr>
            <w:tcW w:w="2008" w:type="dxa"/>
            <w:vMerge w:val="restart"/>
            <w:tcBorders>
              <w:top w:val="single" w:sz="4" w:space="0" w:color="000000"/>
              <w:left w:val="single" w:sz="4" w:space="0" w:color="000000"/>
              <w:bottom w:val="single" w:sz="4" w:space="0" w:color="000000"/>
              <w:right w:val="single" w:sz="4" w:space="0" w:color="000000"/>
            </w:tcBorders>
            <w:shd w:val="clear" w:color="auto" w:fill="DBE5F1"/>
          </w:tcPr>
          <w:p w14:paraId="57D4596C"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Rodiklio pavadinimas, kodas   ir mato vienetas</w:t>
            </w:r>
          </w:p>
        </w:tc>
        <w:tc>
          <w:tcPr>
            <w:tcW w:w="2949" w:type="dxa"/>
            <w:gridSpan w:val="3"/>
            <w:tcBorders>
              <w:top w:val="single" w:sz="4" w:space="0" w:color="000000"/>
              <w:left w:val="single" w:sz="4" w:space="0" w:color="000000"/>
              <w:bottom w:val="single" w:sz="4" w:space="0" w:color="000000"/>
              <w:right w:val="single" w:sz="4" w:space="0" w:color="000000"/>
            </w:tcBorders>
            <w:shd w:val="clear" w:color="auto" w:fill="DBE5F1"/>
          </w:tcPr>
          <w:p w14:paraId="57D4596D"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Planinės rodiklio reikšmės</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DBE5F1"/>
          </w:tcPr>
          <w:p w14:paraId="57D4596E"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 xml:space="preserve">Faktiniai duomenys </w:t>
            </w:r>
          </w:p>
        </w:tc>
        <w:tc>
          <w:tcPr>
            <w:tcW w:w="2546" w:type="dxa"/>
            <w:vMerge w:val="restart"/>
            <w:tcBorders>
              <w:top w:val="single" w:sz="4" w:space="0" w:color="000000"/>
              <w:left w:val="single" w:sz="4" w:space="0" w:color="000000"/>
              <w:bottom w:val="single" w:sz="4" w:space="0" w:color="000000"/>
              <w:right w:val="single" w:sz="4" w:space="0" w:color="000000"/>
            </w:tcBorders>
            <w:shd w:val="clear" w:color="auto" w:fill="DBE5F1"/>
          </w:tcPr>
          <w:p w14:paraId="57D4596F" w14:textId="77777777" w:rsidR="00B34E55" w:rsidRPr="00AC5ECB" w:rsidRDefault="00000000">
            <w:pPr>
              <w:ind w:right="-80"/>
              <w:jc w:val="center"/>
              <w:textAlignment w:val="baseline"/>
            </w:pPr>
            <w:r w:rsidRPr="00AC5ECB">
              <w:rPr>
                <w:bCs/>
                <w:iCs/>
                <w:sz w:val="22"/>
                <w:szCs w:val="22"/>
                <w:lang w:eastAsia="en-US"/>
              </w:rPr>
              <w:t xml:space="preserve">Komentarai </w:t>
            </w:r>
          </w:p>
          <w:p w14:paraId="57D45970" w14:textId="77777777" w:rsidR="00B34E55" w:rsidRPr="00AC5ECB" w:rsidRDefault="00B34E55">
            <w:pPr>
              <w:ind w:right="-80"/>
              <w:jc w:val="center"/>
              <w:textAlignment w:val="baseline"/>
              <w:rPr>
                <w:bCs/>
                <w:iCs/>
                <w:sz w:val="22"/>
                <w:szCs w:val="22"/>
                <w:lang w:eastAsia="en-US"/>
              </w:rPr>
            </w:pPr>
          </w:p>
        </w:tc>
      </w:tr>
      <w:tr w:rsidR="00AC5ECB" w:rsidRPr="00AC5ECB" w14:paraId="57D45979" w14:textId="77777777">
        <w:trPr>
          <w:jc w:val="center"/>
        </w:trPr>
        <w:tc>
          <w:tcPr>
            <w:tcW w:w="2008" w:type="dxa"/>
            <w:vMerge/>
            <w:tcBorders>
              <w:top w:val="single" w:sz="4" w:space="0" w:color="000000"/>
              <w:left w:val="single" w:sz="4" w:space="0" w:color="000000"/>
              <w:bottom w:val="single" w:sz="4" w:space="0" w:color="000000"/>
              <w:right w:val="single" w:sz="4" w:space="0" w:color="000000"/>
            </w:tcBorders>
            <w:shd w:val="clear" w:color="auto" w:fill="DBE5F1"/>
          </w:tcPr>
          <w:p w14:paraId="57D45972" w14:textId="77777777" w:rsidR="00B34E55" w:rsidRPr="00AC5ECB" w:rsidRDefault="00B34E55">
            <w:pPr>
              <w:snapToGrid w:val="0"/>
              <w:ind w:right="-80"/>
              <w:jc w:val="center"/>
              <w:textAlignment w:val="baseline"/>
              <w:rPr>
                <w:bCs/>
                <w:iCs/>
                <w:sz w:val="22"/>
                <w:szCs w:val="22"/>
                <w:lang w:eastAsia="en-US"/>
              </w:rPr>
            </w:pPr>
          </w:p>
        </w:tc>
        <w:tc>
          <w:tcPr>
            <w:tcW w:w="944" w:type="dxa"/>
            <w:tcBorders>
              <w:top w:val="single" w:sz="4" w:space="0" w:color="000000"/>
              <w:left w:val="single" w:sz="4" w:space="0" w:color="000000"/>
              <w:bottom w:val="single" w:sz="4" w:space="0" w:color="000000"/>
              <w:right w:val="single" w:sz="4" w:space="0" w:color="000000"/>
            </w:tcBorders>
            <w:shd w:val="clear" w:color="auto" w:fill="DBE5F1"/>
          </w:tcPr>
          <w:p w14:paraId="57D45973"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2023 m.</w:t>
            </w:r>
          </w:p>
        </w:tc>
        <w:tc>
          <w:tcPr>
            <w:tcW w:w="945" w:type="dxa"/>
            <w:tcBorders>
              <w:top w:val="single" w:sz="4" w:space="0" w:color="000000"/>
              <w:left w:val="single" w:sz="4" w:space="0" w:color="000000"/>
              <w:bottom w:val="single" w:sz="4" w:space="0" w:color="000000"/>
              <w:right w:val="single" w:sz="4" w:space="0" w:color="000000"/>
            </w:tcBorders>
            <w:shd w:val="clear" w:color="auto" w:fill="DBE5F1"/>
          </w:tcPr>
          <w:p w14:paraId="57D45974"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2024 m.</w:t>
            </w:r>
          </w:p>
        </w:tc>
        <w:tc>
          <w:tcPr>
            <w:tcW w:w="1060" w:type="dxa"/>
            <w:tcBorders>
              <w:top w:val="single" w:sz="4" w:space="0" w:color="000000"/>
              <w:left w:val="single" w:sz="4" w:space="0" w:color="000000"/>
              <w:bottom w:val="single" w:sz="4" w:space="0" w:color="000000"/>
              <w:right w:val="single" w:sz="4" w:space="0" w:color="000000"/>
            </w:tcBorders>
            <w:shd w:val="clear" w:color="auto" w:fill="DBE5F1"/>
          </w:tcPr>
          <w:p w14:paraId="57D45975"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2025 m.</w:t>
            </w:r>
          </w:p>
        </w:tc>
        <w:tc>
          <w:tcPr>
            <w:tcW w:w="992" w:type="dxa"/>
            <w:tcBorders>
              <w:top w:val="single" w:sz="4" w:space="0" w:color="000000"/>
              <w:left w:val="single" w:sz="4" w:space="0" w:color="000000"/>
              <w:bottom w:val="single" w:sz="4" w:space="0" w:color="000000"/>
              <w:right w:val="single" w:sz="4" w:space="0" w:color="000000"/>
            </w:tcBorders>
            <w:shd w:val="clear" w:color="auto" w:fill="DBE5F1"/>
          </w:tcPr>
          <w:p w14:paraId="57D45976"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 xml:space="preserve">2022 m. </w:t>
            </w:r>
          </w:p>
        </w:tc>
        <w:tc>
          <w:tcPr>
            <w:tcW w:w="992" w:type="dxa"/>
            <w:tcBorders>
              <w:top w:val="single" w:sz="4" w:space="0" w:color="000000"/>
              <w:left w:val="single" w:sz="4" w:space="0" w:color="000000"/>
              <w:bottom w:val="single" w:sz="4" w:space="0" w:color="000000"/>
              <w:right w:val="single" w:sz="4" w:space="0" w:color="000000"/>
            </w:tcBorders>
            <w:shd w:val="clear" w:color="auto" w:fill="DBE5F1"/>
          </w:tcPr>
          <w:p w14:paraId="57D45977"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 xml:space="preserve">2023 m. </w:t>
            </w:r>
          </w:p>
        </w:tc>
        <w:tc>
          <w:tcPr>
            <w:tcW w:w="2546" w:type="dxa"/>
            <w:vMerge/>
            <w:tcBorders>
              <w:top w:val="single" w:sz="4" w:space="0" w:color="000000"/>
              <w:left w:val="single" w:sz="4" w:space="0" w:color="000000"/>
              <w:bottom w:val="single" w:sz="4" w:space="0" w:color="000000"/>
              <w:right w:val="single" w:sz="4" w:space="0" w:color="000000"/>
            </w:tcBorders>
            <w:shd w:val="clear" w:color="auto" w:fill="DBE5F1"/>
          </w:tcPr>
          <w:p w14:paraId="57D45978" w14:textId="77777777" w:rsidR="00B34E55" w:rsidRPr="00AC5ECB" w:rsidRDefault="00B34E55">
            <w:pPr>
              <w:snapToGrid w:val="0"/>
              <w:ind w:right="-80"/>
              <w:jc w:val="center"/>
              <w:textAlignment w:val="baseline"/>
              <w:rPr>
                <w:bCs/>
                <w:iCs/>
                <w:sz w:val="22"/>
                <w:szCs w:val="22"/>
                <w:lang w:eastAsia="en-US"/>
              </w:rPr>
            </w:pPr>
          </w:p>
        </w:tc>
      </w:tr>
      <w:tr w:rsidR="00B34E55" w:rsidRPr="00AC5ECB" w14:paraId="57D45982" w14:textId="77777777">
        <w:trPr>
          <w:jc w:val="center"/>
        </w:trPr>
        <w:tc>
          <w:tcPr>
            <w:tcW w:w="2008" w:type="dxa"/>
            <w:tcBorders>
              <w:top w:val="single" w:sz="4" w:space="0" w:color="000000"/>
              <w:left w:val="single" w:sz="4" w:space="0" w:color="000000"/>
              <w:bottom w:val="single" w:sz="4" w:space="0" w:color="000000"/>
              <w:right w:val="single" w:sz="4" w:space="0" w:color="000000"/>
            </w:tcBorders>
          </w:tcPr>
          <w:p w14:paraId="57D4597A" w14:textId="77777777" w:rsidR="00B34E55" w:rsidRPr="00AC5ECB" w:rsidRDefault="00000000">
            <w:pPr>
              <w:ind w:right="-80"/>
              <w:textAlignment w:val="baseline"/>
              <w:rPr>
                <w:sz w:val="22"/>
                <w:szCs w:val="22"/>
                <w:lang w:eastAsia="en-US"/>
              </w:rPr>
            </w:pPr>
            <w:r w:rsidRPr="00AC5ECB">
              <w:rPr>
                <w:rFonts w:eastAsia="Calibri"/>
                <w:iCs/>
                <w:sz w:val="22"/>
                <w:szCs w:val="22"/>
                <w:lang w:eastAsia="en-US"/>
              </w:rPr>
              <w:t>R-4-1-3</w:t>
            </w:r>
          </w:p>
          <w:p w14:paraId="57D4597B" w14:textId="77777777" w:rsidR="00B34E55" w:rsidRPr="00AC5ECB" w:rsidRDefault="00000000">
            <w:pPr>
              <w:ind w:right="-80"/>
              <w:textAlignment w:val="baseline"/>
              <w:rPr>
                <w:bCs/>
                <w:iCs/>
                <w:sz w:val="22"/>
                <w:szCs w:val="22"/>
                <w:lang w:eastAsia="en-US"/>
              </w:rPr>
            </w:pPr>
            <w:r w:rsidRPr="00AC5ECB">
              <w:rPr>
                <w:rFonts w:eastAsia="Calibri"/>
                <w:sz w:val="22"/>
                <w:szCs w:val="22"/>
                <w:lang w:val="en-US" w:eastAsia="en-US"/>
              </w:rPr>
              <w:t>Dokumentų, pasirašomų elektroniniu parašu, dalis, proc.</w:t>
            </w:r>
          </w:p>
        </w:tc>
        <w:tc>
          <w:tcPr>
            <w:tcW w:w="944" w:type="dxa"/>
            <w:tcBorders>
              <w:top w:val="single" w:sz="4" w:space="0" w:color="000000"/>
              <w:left w:val="single" w:sz="4" w:space="0" w:color="000000"/>
              <w:bottom w:val="single" w:sz="4" w:space="0" w:color="000000"/>
              <w:right w:val="single" w:sz="4" w:space="0" w:color="000000"/>
            </w:tcBorders>
          </w:tcPr>
          <w:p w14:paraId="57D4597C"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90</w:t>
            </w:r>
          </w:p>
        </w:tc>
        <w:tc>
          <w:tcPr>
            <w:tcW w:w="945" w:type="dxa"/>
            <w:tcBorders>
              <w:top w:val="single" w:sz="4" w:space="0" w:color="000000"/>
              <w:left w:val="single" w:sz="4" w:space="0" w:color="000000"/>
              <w:bottom w:val="single" w:sz="4" w:space="0" w:color="000000"/>
              <w:right w:val="single" w:sz="4" w:space="0" w:color="000000"/>
            </w:tcBorders>
          </w:tcPr>
          <w:p w14:paraId="57D4597D"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90</w:t>
            </w:r>
          </w:p>
        </w:tc>
        <w:tc>
          <w:tcPr>
            <w:tcW w:w="1060" w:type="dxa"/>
            <w:tcBorders>
              <w:top w:val="single" w:sz="4" w:space="0" w:color="000000"/>
              <w:left w:val="single" w:sz="4" w:space="0" w:color="000000"/>
              <w:bottom w:val="single" w:sz="4" w:space="0" w:color="000000"/>
              <w:right w:val="single" w:sz="4" w:space="0" w:color="000000"/>
            </w:tcBorders>
          </w:tcPr>
          <w:p w14:paraId="57D4597E"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90</w:t>
            </w:r>
          </w:p>
        </w:tc>
        <w:tc>
          <w:tcPr>
            <w:tcW w:w="992" w:type="dxa"/>
            <w:tcBorders>
              <w:top w:val="single" w:sz="4" w:space="0" w:color="000000"/>
              <w:left w:val="single" w:sz="4" w:space="0" w:color="000000"/>
              <w:bottom w:val="single" w:sz="4" w:space="0" w:color="000000"/>
              <w:right w:val="single" w:sz="4" w:space="0" w:color="000000"/>
            </w:tcBorders>
          </w:tcPr>
          <w:p w14:paraId="57D4597F"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82</w:t>
            </w:r>
          </w:p>
        </w:tc>
        <w:tc>
          <w:tcPr>
            <w:tcW w:w="992" w:type="dxa"/>
            <w:tcBorders>
              <w:top w:val="single" w:sz="4" w:space="0" w:color="000000"/>
              <w:left w:val="single" w:sz="4" w:space="0" w:color="000000"/>
              <w:bottom w:val="single" w:sz="4" w:space="0" w:color="000000"/>
              <w:right w:val="single" w:sz="4" w:space="0" w:color="000000"/>
            </w:tcBorders>
          </w:tcPr>
          <w:p w14:paraId="57D45980"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95</w:t>
            </w:r>
          </w:p>
        </w:tc>
        <w:tc>
          <w:tcPr>
            <w:tcW w:w="2546" w:type="dxa"/>
            <w:tcBorders>
              <w:top w:val="single" w:sz="4" w:space="0" w:color="000000"/>
              <w:left w:val="single" w:sz="4" w:space="0" w:color="000000"/>
              <w:bottom w:val="single" w:sz="4" w:space="0" w:color="000000"/>
              <w:right w:val="single" w:sz="4" w:space="0" w:color="000000"/>
            </w:tcBorders>
          </w:tcPr>
          <w:p w14:paraId="57D45981" w14:textId="77777777" w:rsidR="00B34E55" w:rsidRPr="00AC5ECB" w:rsidRDefault="00000000">
            <w:pPr>
              <w:ind w:right="-80"/>
              <w:jc w:val="center"/>
              <w:textAlignment w:val="baseline"/>
              <w:rPr>
                <w:bCs/>
                <w:iCs/>
                <w:sz w:val="22"/>
                <w:szCs w:val="22"/>
                <w:lang w:eastAsia="en-US"/>
              </w:rPr>
            </w:pPr>
            <w:r w:rsidRPr="00AC5ECB">
              <w:rPr>
                <w:bCs/>
                <w:iCs/>
                <w:sz w:val="22"/>
                <w:szCs w:val="22"/>
                <w:lang w:eastAsia="en-US"/>
              </w:rPr>
              <w:t>Reikšmė viršyta dėl Tarnybos siekio rengti tik elektroninius dokumentus.</w:t>
            </w:r>
          </w:p>
        </w:tc>
      </w:tr>
    </w:tbl>
    <w:p w14:paraId="57D45983" w14:textId="77777777" w:rsidR="00B34E55" w:rsidRPr="00AC5ECB" w:rsidRDefault="00B34E55">
      <w:pPr>
        <w:ind w:firstLine="851"/>
        <w:textAlignment w:val="baseline"/>
        <w:rPr>
          <w:b/>
          <w:bCs/>
        </w:rPr>
      </w:pPr>
    </w:p>
    <w:p w14:paraId="57D45984" w14:textId="596A5576" w:rsidR="00B34E55" w:rsidRPr="00AC5ECB" w:rsidRDefault="00000000">
      <w:pPr>
        <w:ind w:firstLine="851"/>
        <w:jc w:val="both"/>
        <w:textAlignment w:val="baseline"/>
      </w:pPr>
      <w:r w:rsidRPr="00AC5ECB">
        <w:t>2023 metais pradėj</w:t>
      </w:r>
      <w:r w:rsidR="00444E26">
        <w:t>us</w:t>
      </w:r>
      <w:r w:rsidRPr="00AC5ECB">
        <w:t xml:space="preserve"> dirbti su nauja Dokumentų valdymo bendrąja informacine sistema (DBSIS), susid</w:t>
      </w:r>
      <w:r w:rsidR="00444E26">
        <w:t>urta</w:t>
      </w:r>
      <w:r w:rsidRPr="00AC5ECB">
        <w:t xml:space="preserve"> su naujais iššūkiai</w:t>
      </w:r>
      <w:r w:rsidR="00444E26">
        <w:t>s</w:t>
      </w:r>
      <w:r w:rsidRPr="00AC5ECB">
        <w:t xml:space="preserve"> veikloje. Tarnyboje </w:t>
      </w:r>
      <w:r w:rsidR="00444E26">
        <w:t xml:space="preserve">bus </w:t>
      </w:r>
      <w:r w:rsidRPr="00AC5ECB">
        <w:t>siek</w:t>
      </w:r>
      <w:r w:rsidR="00444E26">
        <w:t>iama</w:t>
      </w:r>
      <w:r w:rsidRPr="00AC5ECB">
        <w:t xml:space="preserve"> dar labiau pagerinti faktinį 2023 metų rodiklį.</w:t>
      </w:r>
    </w:p>
    <w:p w14:paraId="57D45985" w14:textId="77777777" w:rsidR="00B34E55" w:rsidRPr="00AC5ECB" w:rsidRDefault="00B34E55">
      <w:pPr>
        <w:ind w:firstLine="851"/>
        <w:jc w:val="both"/>
        <w:textAlignment w:val="baseline"/>
      </w:pPr>
    </w:p>
    <w:p w14:paraId="57D45986" w14:textId="77777777" w:rsidR="00B34E55" w:rsidRPr="00AC5ECB" w:rsidRDefault="00000000">
      <w:pPr>
        <w:spacing w:after="120"/>
        <w:jc w:val="both"/>
        <w:textAlignment w:val="baseline"/>
      </w:pPr>
      <w:r w:rsidRPr="00AC5ECB">
        <w:rPr>
          <w:b/>
          <w:bCs/>
        </w:rPr>
        <w:t>Veiklos rezultatai</w:t>
      </w:r>
    </w:p>
    <w:p w14:paraId="57D45987" w14:textId="1F9000B4" w:rsidR="00B34E55" w:rsidRPr="00AC5ECB" w:rsidRDefault="00000000">
      <w:pPr>
        <w:ind w:firstLine="851"/>
        <w:jc w:val="both"/>
        <w:textAlignment w:val="baseline"/>
        <w:rPr>
          <w:bCs/>
          <w:iCs/>
        </w:rPr>
      </w:pPr>
      <w:r w:rsidRPr="00AC5ECB">
        <w:rPr>
          <w:bCs/>
          <w:iCs/>
        </w:rPr>
        <w:t>Tarnybos darbas ir teisės aktais nustatytų funkcijų įgyvendinimas 2023 metais buvo organizuojamas vadovaujantis Savivaldybės kontrolieriaus parengtu ir su Savivaldybės tarybos kontrolės komitetu (toliau – Kontrolės komitetas) suderintu veiklos planu. Veiklos plano įgyvendinimo priežiūrą atliko taip pat Kontrolės komitetas. Ne rečiau kaip kartą per ketvirtį Kontrolės komiteto posėdžiuose buvo pristatoma informacija apie Tarnybos atliktus ir atliekamus auditus, audituotiems subjektams pateiktų rekomendacijų įgyvendinimą bei apie kitą veiklos plane numatytą Tarnybos veiklą. Visi Tarnybos 2023 metų veiklos plane numatyti auditai buvo atlikti, auditų rezultatai aptarti su įstaigų vadovais ir atsakingais darbuotojais. Atliktų auditų ataskaitos ir išvados pateiktos Savivaldybės tarybai, Savivaldybės merui ir audituojamiems subjektams. Toliau pateikta atliktų</w:t>
      </w:r>
      <w:r w:rsidR="00444E26">
        <w:rPr>
          <w:bCs/>
          <w:iCs/>
        </w:rPr>
        <w:t>,</w:t>
      </w:r>
      <w:r w:rsidRPr="00AC5ECB">
        <w:rPr>
          <w:bCs/>
          <w:iCs/>
        </w:rPr>
        <w:t xml:space="preserve"> atliekamų auditų bei teiktų išvadų apžvalga</w:t>
      </w:r>
      <w:r w:rsidR="00444E26">
        <w:rPr>
          <w:bCs/>
          <w:iCs/>
        </w:rPr>
        <w:t>, taip pat</w:t>
      </w:r>
      <w:r w:rsidRPr="00AC5ECB">
        <w:rPr>
          <w:bCs/>
          <w:iCs/>
        </w:rPr>
        <w:t xml:space="preserve"> informacija apie kitą Tarnybos veiklą.</w:t>
      </w:r>
    </w:p>
    <w:p w14:paraId="57D45988" w14:textId="77777777" w:rsidR="00B34E55" w:rsidRPr="00AC5ECB" w:rsidRDefault="00B34E55">
      <w:pPr>
        <w:ind w:firstLine="851"/>
        <w:jc w:val="both"/>
        <w:textAlignment w:val="baseline"/>
        <w:rPr>
          <w:bCs/>
          <w:iCs/>
        </w:rPr>
      </w:pPr>
    </w:p>
    <w:p w14:paraId="57D45989" w14:textId="77777777" w:rsidR="00B34E55" w:rsidRPr="00AC5ECB" w:rsidRDefault="00000000">
      <w:pPr>
        <w:spacing w:after="120"/>
        <w:jc w:val="both"/>
        <w:textAlignment w:val="baseline"/>
        <w:rPr>
          <w:b/>
          <w:i/>
        </w:rPr>
      </w:pPr>
      <w:r w:rsidRPr="00AC5ECB">
        <w:rPr>
          <w:b/>
          <w:i/>
        </w:rPr>
        <w:t>Savivaldybės 2022 metų konsoliduotųjų ataskaitų rinkinio auditas</w:t>
      </w:r>
    </w:p>
    <w:p w14:paraId="57D4598A" w14:textId="7277AA9E" w:rsidR="00B34E55" w:rsidRPr="00AC5ECB" w:rsidRDefault="00000000">
      <w:pPr>
        <w:ind w:firstLine="851"/>
        <w:jc w:val="both"/>
        <w:textAlignment w:val="baseline"/>
      </w:pPr>
      <w:r w:rsidRPr="00AC5ECB">
        <w:t xml:space="preserve">Savivaldybės konsoliduotųjų ataskaitų rinkinio, </w:t>
      </w:r>
      <w:r w:rsidR="00E67711">
        <w:t>S</w:t>
      </w:r>
      <w:r w:rsidRPr="00AC5ECB">
        <w:t xml:space="preserve">avivaldybės biudžeto ir turto naudojimo finansinio (teisėtumo) audito metu vertinome metines finansines ir biudžeto vykdymo ataskaitas bei turto naudojimą visuose Savivaldybės kontroliuojamuose subjektuose. </w:t>
      </w:r>
    </w:p>
    <w:p w14:paraId="57D4598B" w14:textId="1E9CDC96" w:rsidR="00B34E55" w:rsidRPr="00AC5ECB" w:rsidRDefault="00000000">
      <w:pPr>
        <w:ind w:firstLine="851"/>
        <w:jc w:val="both"/>
        <w:textAlignment w:val="baseline"/>
      </w:pPr>
      <w:r w:rsidRPr="00AC5ECB">
        <w:t>2022 metų konsoliduotųjų finansinių ataskaitų rinkinį sudarė 22 biudžetinių įstaigų, 3 viešųjų įstaigų ir 1 fondo (Savivaldybės iždo) metinių finansinių ataskaitų rinkiniai, o 2022 metų konsoliduotųjų biudžeto vykdymo ataskaitų rinkinį – 31 asignavimų valdytojo metinių biudžeto vykdymo ataskaitų rinkiniai.</w:t>
      </w:r>
    </w:p>
    <w:p w14:paraId="57D4598C" w14:textId="77777777" w:rsidR="00B34E55" w:rsidRPr="00AC5ECB" w:rsidRDefault="00000000">
      <w:pPr>
        <w:ind w:firstLine="851"/>
        <w:jc w:val="both"/>
        <w:textAlignment w:val="baseline"/>
      </w:pPr>
      <w:r w:rsidRPr="00AC5ECB">
        <w:t xml:space="preserve">Pateikėme sąlyginę nuomonę dėl konsoliduotųjų finansinių ataskaitų rinkinio. Savivaldybės konsoliduotųjų finansinių ataskaitų rinkinys visais reikšmingais atžvilgiais buvo parengtas pagal teisės aktų reikalavimus ir atitiko duomenis, iš kurių jis sudarytas, išskyrus tai, kad 2022 metais patvirtintame vietinės reikšmės kelių ir gatvių sąraše ir Nekilnojamo turto registre buvusi informacija neatitiko apskaitoje esančios informacijos ir dar yra vietinės reikšmės kelių ir gatvių, kurie neįvertinti tikrąja verte (apskaitoje įvertinti simboline 0,29–1 euro verte) ir jiems skaičiuojamas neteisingas nusidėvėjimas. Dėl šių priežasčių negalėjome patvirtinti Finansinės būklės ataskaitos straipsnių: A.II.3 Infrastruktūros statiniai ir D Finansavimo sumos – 24 506,78 tūkst. eurų bei Veiklos rezultatų ataskaitos straipsnių: A.I Finansavimo pajamos ir B Pagrindinės veiklos sąnaudos – 539,78 tūkst. eurų sumų teisingumo. </w:t>
      </w:r>
    </w:p>
    <w:p w14:paraId="57D4598D" w14:textId="73D95632" w:rsidR="00B34E55" w:rsidRPr="00AC5ECB" w:rsidRDefault="00000000">
      <w:pPr>
        <w:ind w:firstLine="851"/>
        <w:jc w:val="both"/>
        <w:textAlignment w:val="baseline"/>
      </w:pPr>
      <w:r w:rsidRPr="00AC5ECB">
        <w:t xml:space="preserve">2022 metais Savivaldybė disponavo 28 551,1 tūkst. eurų piniginėmis lėšomis, kurias sudarė: 26 371,5 tūkst. eurų – biudžeto pajamos, 516,3 tūkst. eurų – ilgalaikė paskola, 1 663,3 tūkst. eurų – metų pradžios likutis. 2022 metų Savivaldybės biudžeto asignavimai – 27 204,2 tūkst. </w:t>
      </w:r>
      <w:r w:rsidR="00E67711">
        <w:t>eurų</w:t>
      </w:r>
      <w:r w:rsidRPr="00AC5ECB">
        <w:t xml:space="preserve"> – buvo paskirstyti šešių programų vykdymui. Pateikėme besąlyginę nuomonę dėl Savivaldybės konsoliduotųjų biudžeto </w:t>
      </w:r>
      <w:r w:rsidRPr="00AC5ECB">
        <w:lastRenderedPageBreak/>
        <w:t>vykdymo ataskaitų rinkinio, nes rinkinys visais reikšmingais atžvilgiais parengtas pagal teisės aktų reikalavimus ir atitiko duomenis, iš kurių jis sudarytas.</w:t>
      </w:r>
    </w:p>
    <w:p w14:paraId="57D4598E" w14:textId="77777777" w:rsidR="00B34E55" w:rsidRPr="00AC5ECB" w:rsidRDefault="00000000">
      <w:pPr>
        <w:ind w:firstLine="851"/>
        <w:jc w:val="both"/>
        <w:textAlignment w:val="baseline"/>
      </w:pPr>
      <w:r w:rsidRPr="00AC5ECB">
        <w:t xml:space="preserve"> Rekomendacijų šio audito metu neteikėme, tačiau dėl vietinės reikšmės kelių ir gatvių užregistravimo informacijos apskaitoje tęsiame jau pateiktų rekomendacijų stebėseną iki 2024 m. gruodžio 31 d., kad Savivaldybės vietinės reikšmės keliai ir gatvės būtų teisingai apskaityti.</w:t>
      </w:r>
    </w:p>
    <w:p w14:paraId="57D4598F" w14:textId="77777777" w:rsidR="00B34E55" w:rsidRPr="00AC5ECB" w:rsidRDefault="00B34E55">
      <w:pPr>
        <w:ind w:firstLine="851"/>
        <w:jc w:val="both"/>
        <w:textAlignment w:val="baseline"/>
        <w:rPr>
          <w:b/>
          <w:i/>
        </w:rPr>
      </w:pPr>
    </w:p>
    <w:p w14:paraId="57D45990" w14:textId="77777777" w:rsidR="00B34E55" w:rsidRPr="00AC5ECB" w:rsidRDefault="00000000">
      <w:pPr>
        <w:spacing w:after="120"/>
        <w:jc w:val="both"/>
        <w:textAlignment w:val="baseline"/>
      </w:pPr>
      <w:r w:rsidRPr="00AC5ECB">
        <w:rPr>
          <w:b/>
          <w:i/>
        </w:rPr>
        <w:t>Viešosios įstaigos Mosėdžio pirminės sveikatos priežiūros centro veiklos auditas</w:t>
      </w:r>
    </w:p>
    <w:p w14:paraId="57D45991" w14:textId="73CCC475" w:rsidR="00B34E55" w:rsidRPr="00AC5ECB" w:rsidRDefault="00000000">
      <w:pPr>
        <w:ind w:firstLine="851"/>
        <w:jc w:val="both"/>
        <w:textAlignment w:val="baseline"/>
      </w:pPr>
      <w:r w:rsidRPr="00AC5ECB">
        <w:t xml:space="preserve">Viešosios įstaigos Mosėdžio pirminės sveikatos priežiūros centro (toliau – Mosėdžio PSPC) steigėja yra Savivaldybės taryba. Anksčiau dalininko teises ir pareigas pagal Savivaldybės tarybos įgaliojimą įgyvendino Administracijos direktorius, o nuo 2023 m. balandžio 18 d. Meras įgaliotas koordinuoti ir kontroliuoti viešąsias paslaugas teikiančių subjektų darbą bei įgyvendinti juridinio asmens dalyvio turtines ir neturtines teises bei pareigas. Atskiru sprendimu Savivaldybės taryba pavedė Merui sudaryti kolegialius organus viešosiose įstaigose, tvirtinti jų metinių ataskaitų rinkinius bei nustatyti viešųjų įstaigų vidaus kontrolės tvarką. </w:t>
      </w:r>
    </w:p>
    <w:p w14:paraId="57D45992" w14:textId="77777777" w:rsidR="00B34E55" w:rsidRPr="00AC5ECB" w:rsidRDefault="00000000">
      <w:pPr>
        <w:ind w:firstLine="851"/>
        <w:jc w:val="both"/>
        <w:textAlignment w:val="baseline"/>
      </w:pPr>
      <w:r w:rsidRPr="00AC5ECB">
        <w:t>Audito metu siekėme įvertinti, ar Mosėdžio PSPC valdymas ir lėšų panaudojimas yra efektyvus ir ekonomiškas. Mosėdžio PSPC teikiamų medicininių paslaugų šio audito metu nevertinome. Auditavome 2021–2022 metų laikotarpį. Audito metu analizavome įstaigos vidaus dokumentus, jų atitiktį teisės aktų reikalavimams, viešųjų pirkimų informaciją, gautas pajamas ir patirtas išlaidas.</w:t>
      </w:r>
    </w:p>
    <w:p w14:paraId="57D45993" w14:textId="77777777" w:rsidR="00B34E55" w:rsidRPr="00AC5ECB" w:rsidRDefault="00000000">
      <w:pPr>
        <w:ind w:firstLine="851"/>
        <w:jc w:val="both"/>
        <w:textAlignment w:val="baseline"/>
      </w:pPr>
      <w:r w:rsidRPr="00AC5ECB">
        <w:t>2022 metais Mosėdžio PSPC gavo 77 proc. daugiau pajamų palyginus su 2021 metais: buvo 479,6 tūkst. eurų ir padidėjo iki 849,5 tūkst. eurų. Įstaiga dirba pelningai, veiklos rodikliai rezultatyvūs, tačiau valdymas neefektyvus, o lėšų panaudojimas neefektyvus ir neekonomiškas dėl šių priežasčių: įstatai neįregistruoti teisės aktų nustatyta tvarka, kolegialūs valdymo organai nesudaryti arba jų sudėtis neatitinka teisės aktų nuostatų; valdymo struktūra ir pareigybių sąrašas tvirtinami įstaigos direktoriaus įsakymu, o ne dalininko teises ir pareigas įgyvendinančios institucijos sprendimu; valdymo struktūroje nenurodyti įstaigos vadovo ir kolegialių organų pavaldumo ir atskaitomybės ryšiai; įstaigos veikla tik iš dalies atitinka Mosėdžio PSPC strateginį veiklos planą; nekilnojamojo turto valdymas nesutvarkytas; finansinių ataskaitų rengimas turi trūkumų; interneto svetainėje skelbiama neaktuali ir neatnaujinta informacija; vidaus kontrolė neveikia tiek vykdant viešuosius pirkimus, tiek rengiant finansines ataskaitas; darbo apmokėjimo tvarkos aprašas parengtas vadovaujantis nebegaliojančiais teisės aktais ir aprašo nuostatos nesuderintos tarpusavyje; direktoriaus darbo santykiai nesutvarkyti pagal Lietuvos Respublikos darbo kodekso nuostatas; darbo laiko apskaita ne visada atitinka teisės aktų nuostatas; netinkamai ir neefektyviai įgyvendinamos viešųjų pirkimų planavimo, organizavimo ir vykdymo procedūros; ne visi pirkimai vykdomi teisės aktų nustatyta tvarka.</w:t>
      </w:r>
    </w:p>
    <w:p w14:paraId="57D45994" w14:textId="77777777" w:rsidR="00B34E55" w:rsidRPr="00AC5ECB" w:rsidRDefault="00000000">
      <w:pPr>
        <w:ind w:firstLine="1296"/>
        <w:jc w:val="both"/>
        <w:textAlignment w:val="baseline"/>
      </w:pPr>
      <w:r w:rsidRPr="00AC5ECB">
        <w:t>Mosėdžio PSPC pateikėme rekomendacijas dėl trūkumų šalinimo ir veiklos tobulinimo. Su Savivaldybės meru, įstaigos vadovu ir atsakingais darbuotojais suderinome rekomendacijų įgyvendinimo priemonių planą ir terminus.</w:t>
      </w:r>
    </w:p>
    <w:p w14:paraId="57D45995" w14:textId="77777777" w:rsidR="00B34E55" w:rsidRPr="00AC5ECB" w:rsidRDefault="00B34E55">
      <w:pPr>
        <w:ind w:firstLine="1296"/>
        <w:jc w:val="both"/>
        <w:textAlignment w:val="baseline"/>
      </w:pPr>
    </w:p>
    <w:p w14:paraId="57D45996" w14:textId="77777777" w:rsidR="00B34E55" w:rsidRPr="00AC5ECB" w:rsidRDefault="00000000">
      <w:pPr>
        <w:spacing w:after="120"/>
        <w:jc w:val="both"/>
        <w:textAlignment w:val="baseline"/>
        <w:rPr>
          <w:b/>
          <w:i/>
        </w:rPr>
      </w:pPr>
      <w:r w:rsidRPr="00AC5ECB">
        <w:rPr>
          <w:b/>
          <w:i/>
        </w:rPr>
        <w:t>Išmokų 2019–2023 metų kadencijos Skuodo rajono savivaldybės tarybos nariams atitikties auditas</w:t>
      </w:r>
    </w:p>
    <w:p w14:paraId="57D45997" w14:textId="1199A5EE" w:rsidR="00B34E55" w:rsidRPr="00AC5ECB" w:rsidRDefault="00000000">
      <w:pPr>
        <w:ind w:firstLine="851"/>
        <w:jc w:val="both"/>
        <w:textAlignment w:val="baseline"/>
        <w:rPr>
          <w:bCs/>
          <w:iCs/>
        </w:rPr>
      </w:pPr>
      <w:bookmarkStart w:id="1" w:name="_Hlk160525946"/>
      <w:bookmarkEnd w:id="1"/>
      <w:r w:rsidRPr="00AC5ECB">
        <w:t>Išmokų 2019–2023 metų kadencijos Savivaldybės tarybos nariams atitikties auditas atliktas Savivaldybės tarybos pavedimu</w:t>
      </w:r>
      <w:r w:rsidRPr="00AC5ECB">
        <w:rPr>
          <w:rStyle w:val="FootnoteAnchor"/>
        </w:rPr>
        <w:footnoteReference w:id="2"/>
      </w:r>
      <w:r w:rsidRPr="00AC5ECB">
        <w:t>. Audito metu siekėme įvertinti 2019–2023 metų Savivaldybės tarybos kadencijos tarybos narių išlaidų kompensavimo pagrįstumą ir teisėtumą.</w:t>
      </w:r>
    </w:p>
    <w:p w14:paraId="57D45998" w14:textId="77777777" w:rsidR="00B34E55" w:rsidRPr="00AC5ECB" w:rsidRDefault="00000000">
      <w:pPr>
        <w:ind w:firstLine="851"/>
        <w:jc w:val="both"/>
        <w:textAlignment w:val="baseline"/>
      </w:pPr>
      <w:r w:rsidRPr="00AC5ECB">
        <w:t xml:space="preserve">Savivaldybės tarybos nustatyta tvarka tarybos nariui su jo, kaip tarybos nario, veikla susijusioms kanceliarijos, pašto, telefono, interneto ryšio, transporto (transporto priemonės nuomos, eksploatavimo (kurui, tepalams ir kt.), priežiūros, remonto, draudimo išlaidoms, taksi paslaugoms), biuro patalpų nuomos išlaidoms, kiek jų nesuteikia ar neapmoka tiesiogiai Savivaldybės administracija, apmokėti, galėjo būti skiriama 0,5 minimalios mėnesinės algos išmoka. Savivaldybės administracija per kadencijos laikotarpį nesuteikė numatytų prekių ir paslaugų ir tiesiogiai neapmokėjo, o išmokos dydis nebuvo viršytas per visą kadencijos laikotarpį. Šeši tarybos nariai iš dvidešimt penkių išmokomis nesinaudojo. Audito metu nevertinome, ar tarybos narių išlaidos buvo susijusios su tarybos nario veikla. </w:t>
      </w:r>
    </w:p>
    <w:p w14:paraId="57D45999" w14:textId="77777777" w:rsidR="00B34E55" w:rsidRPr="00AC5ECB" w:rsidRDefault="00000000">
      <w:pPr>
        <w:ind w:firstLine="851"/>
        <w:jc w:val="both"/>
        <w:textAlignment w:val="baseline"/>
      </w:pPr>
      <w:r w:rsidRPr="00AC5ECB">
        <w:lastRenderedPageBreak/>
        <w:t>Kadencijos laikotarpiu tarybos nariams išmokėta 199,9 tūkst. eurų. Išmokėtos išmokos skirtos padengti patirtas: kuro išlaidas – 169,9 tūkst. eurų; ryšio išlaidas – 25,4 tūkst. eurų; kanceliarijos išlaidas – 3,7 tūkst. eurų; transporto eksploatacijos išlaidas – 0,9 tūkst. eurų.</w:t>
      </w:r>
    </w:p>
    <w:p w14:paraId="57D4599A" w14:textId="77777777" w:rsidR="00B34E55" w:rsidRPr="00AC5ECB" w:rsidRDefault="00000000">
      <w:pPr>
        <w:ind w:firstLine="851"/>
        <w:jc w:val="both"/>
        <w:textAlignment w:val="baseline"/>
      </w:pPr>
      <w:r w:rsidRPr="00AC5ECB">
        <w:t>Atlikę visų 2019–2023 kadencijos tarybos narių pateiktų dokumentų analizę nustatėme: 795,48 eurų sumą netinkamų finansuoti kuro išlaidų; preliminarią 6746,65 eurų sumą netinkamų finansuoti telefono ir interneto ryšio paslaugų išlaidų; 103,10 eurų sumą netinkamų finansuoti kanceliarijos išlaidų. Kiekvienai išlaidų grupei teikėme atskirus pastebėjimus dėl nustatytų dalykų. Po atliktos analizės teikėme išvadą, kad ne visos išmokos tarybos nariams išmokėtos teisėtai ir pagrįstai. Preliminariais duomenimis tarybos nariams apmokėta 7645,23 eurų netinkamų finansuoti išlaidų suma. O taip pat Savivaldybės administracija vykdė nepakankamą išmokų tarybos nariams finansų kontrolę. Audito metu vienas tarybos narys į Savivaldybės biudžetą grąžino 856 eurus gautų išmokų.</w:t>
      </w:r>
    </w:p>
    <w:p w14:paraId="57D4599B" w14:textId="77777777" w:rsidR="00B34E55" w:rsidRPr="00AC5ECB" w:rsidRDefault="00000000">
      <w:pPr>
        <w:ind w:firstLine="851"/>
        <w:jc w:val="both"/>
        <w:textAlignment w:val="baseline"/>
      </w:pPr>
      <w:r w:rsidRPr="00AC5ECB">
        <w:t>Pateikėme rekomendacijas dėl audito metu nustatytų trūkumų šalinimo, su Savivaldybės meru, Savivaldybės administracijos direktore ir atsakingais darbuotojais aptarėme rekomendacijų įgyvendinimo priemones ir terminus.</w:t>
      </w:r>
    </w:p>
    <w:p w14:paraId="57D4599C" w14:textId="77777777" w:rsidR="00B34E55" w:rsidRPr="00AC5ECB" w:rsidRDefault="00B34E55">
      <w:pPr>
        <w:ind w:firstLine="1296"/>
        <w:jc w:val="both"/>
        <w:textAlignment w:val="baseline"/>
      </w:pPr>
    </w:p>
    <w:p w14:paraId="57D4599D" w14:textId="77777777" w:rsidR="00B34E55" w:rsidRPr="00AC5ECB" w:rsidRDefault="00000000">
      <w:pPr>
        <w:spacing w:after="120"/>
        <w:jc w:val="both"/>
        <w:textAlignment w:val="baseline"/>
        <w:rPr>
          <w:b/>
          <w:i/>
        </w:rPr>
      </w:pPr>
      <w:r w:rsidRPr="00AC5ECB">
        <w:rPr>
          <w:b/>
          <w:i/>
        </w:rPr>
        <w:t>Vietinių rinkliavų nustatymo ir surinkimo Skuodo rajono savivaldybėje atitikties auditas</w:t>
      </w:r>
    </w:p>
    <w:p w14:paraId="57D4599E" w14:textId="4E7F64D1" w:rsidR="00B34E55" w:rsidRPr="00AC5ECB" w:rsidRDefault="00000000">
      <w:pPr>
        <w:ind w:firstLine="851"/>
        <w:jc w:val="both"/>
        <w:textAlignment w:val="baseline"/>
        <w:rPr>
          <w:bCs/>
          <w:iCs/>
        </w:rPr>
      </w:pPr>
      <w:r w:rsidRPr="00AC5ECB">
        <w:t>Pajamos už vietines rinkliavas sudaro pakankamai reikšmingą Savivaldybės biudžeto dalį, todėl vykdydami teisės aktų nustatytą vietinių rinkliavų surinkimo kontrolę atlikome vietinių rinkliavų nustatymo ir surinkimo atitikties auditą Savivaldybėje. Audito metu siekėme įvertinti vietinių rinkliavų nustatymo ir surinkimo atitiktį teisės aktų reikalavimams. Auditavome laikotarpį nuo 2022 m. sausio 1 d. iki 2023 m. rugsėjo 30 d.</w:t>
      </w:r>
    </w:p>
    <w:p w14:paraId="57D4599F" w14:textId="77777777" w:rsidR="00B34E55" w:rsidRPr="00AC5ECB" w:rsidRDefault="00000000">
      <w:pPr>
        <w:ind w:firstLine="851"/>
        <w:jc w:val="both"/>
        <w:textAlignment w:val="baseline"/>
      </w:pPr>
      <w:r w:rsidRPr="00AC5ECB">
        <w:t>Savivaldybės taryba yra nustačiusi vietinę rinkliavą už:</w:t>
      </w:r>
    </w:p>
    <w:p w14:paraId="57D459A0" w14:textId="084B791A" w:rsidR="00B34E55" w:rsidRPr="00AC5ECB" w:rsidRDefault="00000000">
      <w:pPr>
        <w:ind w:firstLine="851"/>
        <w:jc w:val="both"/>
        <w:textAlignment w:val="baseline"/>
      </w:pPr>
      <w:r w:rsidRPr="00AC5ECB">
        <w:t xml:space="preserve"> ▪ leidimo atlikti kasinėjimo darbus </w:t>
      </w:r>
      <w:r w:rsidR="00E67711">
        <w:t>S</w:t>
      </w:r>
      <w:r w:rsidRPr="00AC5ECB">
        <w:t>avivaldybės viešojo naudojimo teritorijoje (gatvėse, vietinės reikšmės keliuose, aikštėse, žaliuosiuose plotuose), atitverti ją ar jos dalį arba apriboti eismą joje išdavimą;</w:t>
      </w:r>
    </w:p>
    <w:p w14:paraId="57D459A1" w14:textId="77777777" w:rsidR="00B34E55" w:rsidRPr="00AC5ECB" w:rsidRDefault="00000000">
      <w:pPr>
        <w:ind w:firstLine="851"/>
        <w:jc w:val="both"/>
        <w:textAlignment w:val="baseline"/>
      </w:pPr>
      <w:r w:rsidRPr="00AC5ECB">
        <w:t>▪ leidimo prekiauti ar teikti paslaugas Savivaldybės tarybos nustatytose viešosiose vietose išdavimą;</w:t>
      </w:r>
    </w:p>
    <w:p w14:paraId="57D459A2" w14:textId="52717F62" w:rsidR="00B34E55" w:rsidRPr="00AC5ECB" w:rsidRDefault="00000000">
      <w:pPr>
        <w:ind w:firstLine="851"/>
        <w:jc w:val="both"/>
        <w:textAlignment w:val="baseline"/>
      </w:pPr>
      <w:r w:rsidRPr="00AC5ECB">
        <w:t xml:space="preserve">▪ leidimo įrengti išorinę reklamą </w:t>
      </w:r>
      <w:r w:rsidR="00E67711">
        <w:t>S</w:t>
      </w:r>
      <w:r w:rsidRPr="00AC5ECB">
        <w:t>avivaldybės teritorijoje išdavimą;</w:t>
      </w:r>
    </w:p>
    <w:p w14:paraId="57D459A3" w14:textId="77777777" w:rsidR="00B34E55" w:rsidRPr="00AC5ECB" w:rsidRDefault="00000000">
      <w:pPr>
        <w:ind w:firstLine="851"/>
        <w:jc w:val="both"/>
        <w:textAlignment w:val="baseline"/>
      </w:pPr>
      <w:r w:rsidRPr="00AC5ECB">
        <w:t>▪ leidimo organizuoti komercinius renginius Savivaldybei priklausančiose ar valdytojo teise valdomose viešojo naudojimo teritorijose išdavimą;</w:t>
      </w:r>
    </w:p>
    <w:p w14:paraId="57D459A4" w14:textId="77777777" w:rsidR="00B34E55" w:rsidRPr="00AC5ECB" w:rsidRDefault="00000000">
      <w:pPr>
        <w:spacing w:after="120"/>
        <w:ind w:firstLine="851"/>
        <w:jc w:val="both"/>
        <w:textAlignment w:val="baseline"/>
      </w:pPr>
      <w:r w:rsidRPr="00AC5ECB">
        <w:t>▪ komunalinių atliekų surinkimą iš atliekų turėtojų ir atliekų tvarkymą.</w:t>
      </w:r>
    </w:p>
    <w:p w14:paraId="57D459A5" w14:textId="77777777" w:rsidR="00B34E55" w:rsidRPr="00AC5ECB" w:rsidRDefault="00000000">
      <w:pPr>
        <w:ind w:firstLine="851"/>
        <w:jc w:val="both"/>
        <w:textAlignment w:val="baseline"/>
      </w:pPr>
      <w:r w:rsidRPr="00AC5ECB">
        <w:t>Didžiausią dalį surenkamų pajamų iš vietinių rinkliavų audituojamu laikotarpiu sudarė gautos pajamos už komunalinių atliekų surinkimą iš atliekų turėtojų ir atliekų tvarkymą – 843,1 tūkst. eurų, kas sudarė 97 proc. visų gautų pajamų už vietines rinkliavas. Kita žymi dalis surenkamų pajamų buvo 26,4 tūkst. eurų už leidimų prekiauti ir teikti paslaugas išdavimą. Audituojamu laikotarpiu už leidimų organizuoti komercinius renginius išdavimą pajamų iš viso nebuvo gauta.</w:t>
      </w:r>
    </w:p>
    <w:p w14:paraId="57D459A6" w14:textId="77777777" w:rsidR="00B34E55" w:rsidRPr="00AC5ECB" w:rsidRDefault="00000000">
      <w:pPr>
        <w:ind w:firstLine="851"/>
        <w:jc w:val="both"/>
        <w:textAlignment w:val="baseline"/>
      </w:pPr>
      <w:r w:rsidRPr="00AC5ECB">
        <w:t xml:space="preserve">Atlikę vietinių rinkliavų nustatymo ir surinkimo Savivaldybėje atlikties teisės aktų reikalavimams vertinimą, nustatėme, kad: </w:t>
      </w:r>
    </w:p>
    <w:p w14:paraId="57D459A7" w14:textId="77777777" w:rsidR="00B34E55" w:rsidRPr="00AC5ECB" w:rsidRDefault="00000000">
      <w:pPr>
        <w:ind w:firstLine="851"/>
        <w:jc w:val="both"/>
        <w:textAlignment w:val="baseline"/>
      </w:pPr>
      <w:r w:rsidRPr="00AC5ECB">
        <w:t>- vietinių rinkliavų nuostatai neatitinka Lietuvos Respublikos rinkliavų įstatyme nustatytų reikalavimų rinkliavos mokėjimo, grąžinimo, delspinigių nustatymo ir teikiamos paslaugos kokybės vertinimo srityse;</w:t>
      </w:r>
    </w:p>
    <w:p w14:paraId="57D459A8" w14:textId="77777777" w:rsidR="00B34E55" w:rsidRPr="00AC5ECB" w:rsidRDefault="00000000">
      <w:pPr>
        <w:ind w:firstLine="851"/>
        <w:jc w:val="both"/>
        <w:textAlignment w:val="baseline"/>
      </w:pPr>
      <w:r w:rsidRPr="00AC5ECB">
        <w:t>- leidimų išdavimo procedūros turi trūkumų informacijos viešinimo, terminų rašymo ir taikymo, rinkliavų dydžių apskaičiavimo, lengvatų pritaikymo ir vidaus kontrolės srityse;</w:t>
      </w:r>
    </w:p>
    <w:p w14:paraId="57D459A9" w14:textId="77777777" w:rsidR="00B34E55" w:rsidRPr="00AC5ECB" w:rsidRDefault="00000000">
      <w:pPr>
        <w:ind w:firstLine="851"/>
        <w:jc w:val="both"/>
        <w:textAlignment w:val="baseline"/>
      </w:pPr>
      <w:r w:rsidRPr="00AC5ECB">
        <w:t>- Savivaldybės administracijos vykdomos vietinė rinkliavos už komunalinių atliekų surinkimą iš atliekų turėtojų ir atliekų tvarkymą skolų išieškojimo procedūros yra nepakankamos;</w:t>
      </w:r>
    </w:p>
    <w:p w14:paraId="57D459AA" w14:textId="77777777" w:rsidR="00B34E55" w:rsidRPr="00AC5ECB" w:rsidRDefault="00000000">
      <w:pPr>
        <w:ind w:firstLine="851"/>
        <w:jc w:val="both"/>
        <w:textAlignment w:val="baseline"/>
      </w:pPr>
      <w:r w:rsidRPr="00AC5ECB">
        <w:t>- vietinės rinkliavos apskaita Savivaldybėje trūkumų neturi.</w:t>
      </w:r>
    </w:p>
    <w:p w14:paraId="57D459AB" w14:textId="77777777" w:rsidR="00B34E55" w:rsidRPr="00AC5ECB" w:rsidRDefault="00000000">
      <w:pPr>
        <w:ind w:firstLine="851"/>
        <w:jc w:val="both"/>
        <w:textAlignment w:val="baseline"/>
      </w:pPr>
      <w:r w:rsidRPr="00AC5ECB">
        <w:t>Pateikėme rekomendacijas dėl audito metu nustatytų trūkumų šalinimo, su Savivaldybės administracijos direktore, seniūnais ir atsakingais darbuotojais aptarėme rekomendacijų įgyvendinimo priemones ir terminus.</w:t>
      </w:r>
    </w:p>
    <w:p w14:paraId="57D459AC" w14:textId="77777777" w:rsidR="00B34E55" w:rsidRPr="00AC5ECB" w:rsidRDefault="00B34E55">
      <w:pPr>
        <w:ind w:firstLine="1296"/>
        <w:jc w:val="both"/>
        <w:textAlignment w:val="baseline"/>
      </w:pPr>
    </w:p>
    <w:p w14:paraId="57D459AD" w14:textId="77777777" w:rsidR="00B34E55" w:rsidRDefault="00B34E55">
      <w:pPr>
        <w:ind w:firstLine="1296"/>
        <w:jc w:val="both"/>
        <w:textAlignment w:val="baseline"/>
      </w:pPr>
    </w:p>
    <w:p w14:paraId="7D41B92C" w14:textId="77777777" w:rsidR="00DF1551" w:rsidRPr="00AC5ECB" w:rsidRDefault="00DF1551">
      <w:pPr>
        <w:ind w:firstLine="1296"/>
        <w:jc w:val="both"/>
        <w:textAlignment w:val="baseline"/>
      </w:pPr>
    </w:p>
    <w:p w14:paraId="57D459AE" w14:textId="77777777" w:rsidR="00B34E55" w:rsidRPr="00AC5ECB" w:rsidRDefault="00000000">
      <w:pPr>
        <w:spacing w:after="120"/>
        <w:jc w:val="both"/>
        <w:textAlignment w:val="baseline"/>
        <w:rPr>
          <w:b/>
          <w:i/>
        </w:rPr>
      </w:pPr>
      <w:r w:rsidRPr="00AC5ECB">
        <w:rPr>
          <w:b/>
          <w:i/>
        </w:rPr>
        <w:lastRenderedPageBreak/>
        <w:t>Savivaldybės 2023 metų metinių ataskaitų rinkinio auditas</w:t>
      </w:r>
    </w:p>
    <w:p w14:paraId="57D459AF" w14:textId="77777777" w:rsidR="00B34E55" w:rsidRPr="00AC5ECB" w:rsidRDefault="00000000">
      <w:pPr>
        <w:ind w:firstLine="851"/>
        <w:jc w:val="both"/>
        <w:textAlignment w:val="baseline"/>
      </w:pPr>
      <w:r w:rsidRPr="00AC5ECB">
        <w:t>Ataskaitinio laikotarpio trečią ketvirtį pradėjome Savivaldybės 2023 metų metinio ataskaitų rinkinio finansinį auditą. Apie pradėtą auditą informavome Savivaldybės vadovus. Vadovaudamiesi Tarptautiniais audito standartais, audito metodikomis, Tarnybos tvarkomis, auditą pradėjome planavimo etapu. Jo metu analizavome subjektų veiklą reglamentuojančius teisės aktus, vidaus kontrolės aplinką, veiklos pokyčius, 2023 metų tarpines biudžeto vykdymo ir finansines ataskaitas, nustatėme rizikas ir svarbiausias audituojamas sritis. Surinktos ir išanalizuotos informacijos pagrindu rengiame audito strategiją.</w:t>
      </w:r>
    </w:p>
    <w:p w14:paraId="57D459B0" w14:textId="77777777" w:rsidR="00B34E55" w:rsidRPr="00AC5ECB" w:rsidRDefault="00B34E55">
      <w:pPr>
        <w:ind w:firstLine="1296"/>
        <w:jc w:val="both"/>
        <w:textAlignment w:val="baseline"/>
      </w:pPr>
    </w:p>
    <w:p w14:paraId="57D459B1" w14:textId="77777777" w:rsidR="00B34E55" w:rsidRPr="00AC5ECB" w:rsidRDefault="00000000">
      <w:pPr>
        <w:spacing w:after="120"/>
        <w:jc w:val="both"/>
        <w:textAlignment w:val="baseline"/>
        <w:rPr>
          <w:b/>
          <w:i/>
        </w:rPr>
      </w:pPr>
      <w:r w:rsidRPr="00AC5ECB">
        <w:rPr>
          <w:b/>
          <w:i/>
        </w:rPr>
        <w:t>Išvada dėl Savivaldybės galimybės imti ilgalaikę paskolą</w:t>
      </w:r>
    </w:p>
    <w:p w14:paraId="57D459B2" w14:textId="77777777" w:rsidR="00B34E55" w:rsidRPr="00AC5ECB" w:rsidRDefault="00000000">
      <w:pPr>
        <w:ind w:firstLine="851"/>
        <w:jc w:val="both"/>
        <w:textAlignment w:val="baseline"/>
      </w:pPr>
      <w:r w:rsidRPr="00AC5ECB">
        <w:t>Parengėme ir Savivaldybės tarybai pateikėme išvadą, kad Savivaldybė gali imti 377,7 tūkst. eurų ilgalaikę paskolą investicijų projektams finansuoti, neviršydama Fiskalinės sutarties įgyvendinimo konstituciniame įstatyme numatytų ir 2023 metų valstybės biudžeto ir savivaldybių biudžetų finansinių rodiklių patvirtinimo įstatyme nustatytų limitų.</w:t>
      </w:r>
    </w:p>
    <w:p w14:paraId="57D459B3" w14:textId="77777777" w:rsidR="00B34E55" w:rsidRPr="00AC5ECB" w:rsidRDefault="00B34E55">
      <w:pPr>
        <w:ind w:firstLine="1296"/>
        <w:jc w:val="both"/>
        <w:textAlignment w:val="baseline"/>
      </w:pPr>
    </w:p>
    <w:p w14:paraId="57D459B4" w14:textId="77777777" w:rsidR="00B34E55" w:rsidRPr="00AC5ECB" w:rsidRDefault="00000000">
      <w:pPr>
        <w:spacing w:after="120"/>
        <w:jc w:val="both"/>
        <w:textAlignment w:val="baseline"/>
        <w:rPr>
          <w:b/>
          <w:i/>
        </w:rPr>
      </w:pPr>
      <w:r w:rsidRPr="00AC5ECB">
        <w:rPr>
          <w:b/>
          <w:i/>
        </w:rPr>
        <w:t>Tarnybos komanda</w:t>
      </w:r>
    </w:p>
    <w:p w14:paraId="57D459B5" w14:textId="77777777" w:rsidR="00B34E55" w:rsidRPr="00AC5ECB" w:rsidRDefault="00000000">
      <w:pPr>
        <w:ind w:firstLine="851"/>
        <w:jc w:val="both"/>
        <w:textAlignment w:val="baseline"/>
      </w:pPr>
      <w:r w:rsidRPr="00AC5ECB">
        <w:t>Veiklos rezultatams ypatingą svarbą turi Tarnybos žmogiškieji ištekliai. Nors komandą sudaro tik du darbuotojai, tačiau veiklos kokybės standartai yra aukšti, darbas atliekamas atsakingai, profesionaliai ir sąžiningai. Siekdami išlaikyti aukštą darbuotojų kompetenciją, skiriame nemažą dėmesį darbuotojų kvalifikacijos kėlimui, nuolat atnaujiname teorines žinias bei tobuliname praktinius įgūdžius. Per 2023 metus Tarnybos darbuotojai įvairiuose seminaruose ir mokymuose  kvalifikaciją kėlė 99 akademines valandas.</w:t>
      </w:r>
    </w:p>
    <w:p w14:paraId="57D459B6" w14:textId="77777777" w:rsidR="00B34E55" w:rsidRPr="00AC5ECB" w:rsidRDefault="00B34E55">
      <w:pPr>
        <w:ind w:firstLine="851"/>
        <w:jc w:val="both"/>
        <w:textAlignment w:val="baseline"/>
      </w:pPr>
    </w:p>
    <w:p w14:paraId="57D459B7" w14:textId="77777777" w:rsidR="00B34E55" w:rsidRPr="00AC5ECB" w:rsidRDefault="00000000">
      <w:pPr>
        <w:spacing w:after="120"/>
        <w:jc w:val="both"/>
        <w:textAlignment w:val="baseline"/>
      </w:pPr>
      <w:r w:rsidRPr="00AC5ECB">
        <w:rPr>
          <w:b/>
          <w:i/>
        </w:rPr>
        <w:t>Tarnybos bendrųjų funkcijų vykdymas</w:t>
      </w:r>
    </w:p>
    <w:p w14:paraId="57D459B8" w14:textId="77777777" w:rsidR="00B34E55" w:rsidRPr="00AC5ECB" w:rsidRDefault="00000000">
      <w:pPr>
        <w:ind w:firstLine="851"/>
        <w:jc w:val="both"/>
      </w:pPr>
      <w:r w:rsidRPr="00AC5ECB">
        <w:t>Tarnyba, kaip Savivaldybės biudžetinė įstaiga, be teisės aktais jai deleguotų išorės audito funkcijų, vykdė bendras biudžetinės įstaigos funkcijas. Tai veiklos planavimo, įstaigos vidaus dokumentų tvarkymo, archyvavimo, viešųjų pirkimų vykdymo, personalo valdymo, valstybės tarnautojų mokymo, jų tarnybinės veiklos vertinimo ir kt. funkcijas. Šitų funkcijų vykdymas yra nenutrūkstantis biudžetinės įstaigos gyvavimo procesas, kuriam reikia skirti nemažai darbo laiko. Vis labiau intensyvėja informacinių sistemų naudojimas, dėl to tenka įsisavinti vis daugiau naujos informacijos norint užtikrinti efektyvią Tarnybos veiklą su turimais žmogiškaisiais ištekliais.</w:t>
      </w:r>
    </w:p>
    <w:p w14:paraId="57D459B9" w14:textId="77777777" w:rsidR="00B34E55" w:rsidRPr="00AC5ECB" w:rsidRDefault="00B34E55">
      <w:pPr>
        <w:ind w:firstLine="1296"/>
        <w:jc w:val="both"/>
        <w:textAlignment w:val="baseline"/>
      </w:pPr>
    </w:p>
    <w:p w14:paraId="57D459BA" w14:textId="77777777" w:rsidR="00B34E55" w:rsidRPr="00AC5ECB" w:rsidRDefault="00000000">
      <w:pPr>
        <w:spacing w:after="120"/>
        <w:jc w:val="both"/>
        <w:textAlignment w:val="baseline"/>
        <w:rPr>
          <w:b/>
          <w:bCs/>
        </w:rPr>
      </w:pPr>
      <w:r w:rsidRPr="00AC5ECB">
        <w:rPr>
          <w:b/>
          <w:bCs/>
        </w:rPr>
        <w:t>Veiklos finansavimas</w:t>
      </w:r>
    </w:p>
    <w:p w14:paraId="57D459BB" w14:textId="77777777" w:rsidR="00B34E55" w:rsidRPr="00AC5ECB" w:rsidRDefault="00000000">
      <w:pPr>
        <w:ind w:firstLine="851"/>
        <w:jc w:val="both"/>
        <w:textAlignment w:val="baseline"/>
      </w:pPr>
      <w:r w:rsidRPr="00AC5ECB">
        <w:t>Tarnybos veikla yra finansuojama Savivaldybės biudžeto lėšomis. Tarnybos teikiamą asignavimų poreikį Tarnybos veiklos planui vykdyti įvertina Kontrolės komitetas. Antroje lentelėje pateikta informacija apie Tarnybos asignavimų panaudojimą 2023 metais.</w:t>
      </w:r>
    </w:p>
    <w:p w14:paraId="57D459BC" w14:textId="77777777" w:rsidR="00B34E55" w:rsidRPr="00AC5ECB" w:rsidRDefault="00B34E55">
      <w:pPr>
        <w:ind w:left="284" w:hanging="284"/>
        <w:jc w:val="center"/>
        <w:textAlignment w:val="baseline"/>
        <w:rPr>
          <w:b/>
          <w:bCs/>
        </w:rPr>
      </w:pPr>
    </w:p>
    <w:p w14:paraId="57D459BD" w14:textId="77777777" w:rsidR="00B34E55" w:rsidRPr="00AC5ECB" w:rsidRDefault="00000000">
      <w:pPr>
        <w:spacing w:after="120"/>
        <w:ind w:left="284" w:hanging="284"/>
        <w:jc w:val="center"/>
        <w:textAlignment w:val="baseline"/>
        <w:rPr>
          <w:bCs/>
          <w:iCs/>
        </w:rPr>
      </w:pPr>
      <w:r w:rsidRPr="00AC5ECB">
        <w:rPr>
          <w:bCs/>
          <w:iCs/>
        </w:rPr>
        <w:t>2  lentelė. Priemonės įgyvendinimui skirtų asignavimų panaudojimas 2023 metais</w:t>
      </w:r>
    </w:p>
    <w:tbl>
      <w:tblPr>
        <w:tblW w:w="10060" w:type="dxa"/>
        <w:jc w:val="center"/>
        <w:tblLayout w:type="fixed"/>
        <w:tblLook w:val="04A0" w:firstRow="1" w:lastRow="0" w:firstColumn="1" w:lastColumn="0" w:noHBand="0" w:noVBand="1"/>
      </w:tblPr>
      <w:tblGrid>
        <w:gridCol w:w="879"/>
        <w:gridCol w:w="2979"/>
        <w:gridCol w:w="1276"/>
        <w:gridCol w:w="1105"/>
        <w:gridCol w:w="1277"/>
        <w:gridCol w:w="2544"/>
      </w:tblGrid>
      <w:tr w:rsidR="00AC5ECB" w:rsidRPr="00AC5ECB" w14:paraId="57D459C1" w14:textId="77777777" w:rsidTr="00C23E48">
        <w:trPr>
          <w:jc w:val="center"/>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14:paraId="57D459BE" w14:textId="77777777" w:rsidR="00B34E55" w:rsidRPr="00AC5ECB" w:rsidRDefault="00000000">
            <w:pPr>
              <w:jc w:val="center"/>
              <w:textAlignment w:val="baseline"/>
              <w:rPr>
                <w:bCs/>
                <w:sz w:val="18"/>
                <w:szCs w:val="18"/>
              </w:rPr>
            </w:pPr>
            <w:r w:rsidRPr="00AC5ECB">
              <w:rPr>
                <w:rFonts w:eastAsia="Calibri"/>
                <w:bCs/>
                <w:sz w:val="18"/>
                <w:szCs w:val="18"/>
              </w:rPr>
              <w:t>Priemonės kodas</w:t>
            </w:r>
          </w:p>
        </w:tc>
        <w:tc>
          <w:tcPr>
            <w:tcW w:w="2979" w:type="dxa"/>
            <w:vMerge w:val="restart"/>
            <w:tcBorders>
              <w:top w:val="single" w:sz="4" w:space="0" w:color="000000"/>
              <w:left w:val="single" w:sz="4" w:space="0" w:color="000000"/>
              <w:bottom w:val="single" w:sz="4" w:space="0" w:color="000000"/>
              <w:right w:val="single" w:sz="4" w:space="0" w:color="000000"/>
            </w:tcBorders>
            <w:shd w:val="clear" w:color="auto" w:fill="DBE5F1"/>
            <w:vAlign w:val="center"/>
          </w:tcPr>
          <w:p w14:paraId="57D459BF" w14:textId="77777777" w:rsidR="00B34E55" w:rsidRPr="00AC5ECB" w:rsidRDefault="00000000">
            <w:pPr>
              <w:jc w:val="center"/>
              <w:textAlignment w:val="baseline"/>
              <w:rPr>
                <w:bCs/>
                <w:sz w:val="18"/>
                <w:szCs w:val="18"/>
              </w:rPr>
            </w:pPr>
            <w:r w:rsidRPr="00AC5ECB">
              <w:rPr>
                <w:rFonts w:eastAsia="Calibri"/>
                <w:bCs/>
                <w:sz w:val="18"/>
                <w:szCs w:val="18"/>
              </w:rPr>
              <w:t>Priemonės pavadinimas</w:t>
            </w:r>
          </w:p>
        </w:tc>
        <w:tc>
          <w:tcPr>
            <w:tcW w:w="6202" w:type="dxa"/>
            <w:gridSpan w:val="4"/>
            <w:tcBorders>
              <w:top w:val="single" w:sz="4" w:space="0" w:color="000000"/>
              <w:left w:val="single" w:sz="4" w:space="0" w:color="000000"/>
              <w:bottom w:val="single" w:sz="4" w:space="0" w:color="000000"/>
              <w:right w:val="single" w:sz="4" w:space="0" w:color="000000"/>
            </w:tcBorders>
            <w:shd w:val="clear" w:color="auto" w:fill="DBE5F1"/>
            <w:vAlign w:val="center"/>
          </w:tcPr>
          <w:p w14:paraId="57D459C0" w14:textId="77777777" w:rsidR="00B34E55" w:rsidRPr="00AC5ECB" w:rsidRDefault="00000000">
            <w:pPr>
              <w:jc w:val="center"/>
              <w:textAlignment w:val="baseline"/>
              <w:rPr>
                <w:bCs/>
                <w:sz w:val="18"/>
                <w:szCs w:val="18"/>
              </w:rPr>
            </w:pPr>
            <w:r w:rsidRPr="00AC5ECB">
              <w:rPr>
                <w:rFonts w:eastAsia="Calibri"/>
                <w:bCs/>
                <w:sz w:val="18"/>
                <w:szCs w:val="18"/>
              </w:rPr>
              <w:t>Asignavimų panaudojimas (tūkst. Eur)</w:t>
            </w:r>
          </w:p>
        </w:tc>
      </w:tr>
      <w:tr w:rsidR="00AC5ECB" w:rsidRPr="00AC5ECB" w14:paraId="57D459C9" w14:textId="77777777" w:rsidTr="00C23E48">
        <w:trPr>
          <w:jc w:val="center"/>
        </w:trPr>
        <w:tc>
          <w:tcPr>
            <w:tcW w:w="879" w:type="dxa"/>
            <w:vMerge/>
            <w:tcBorders>
              <w:top w:val="single" w:sz="4" w:space="0" w:color="000000"/>
              <w:left w:val="single" w:sz="4" w:space="0" w:color="000000"/>
              <w:bottom w:val="single" w:sz="4" w:space="0" w:color="000000"/>
              <w:right w:val="single" w:sz="4" w:space="0" w:color="000000"/>
            </w:tcBorders>
            <w:shd w:val="clear" w:color="auto" w:fill="DBE5F1"/>
            <w:vAlign w:val="center"/>
          </w:tcPr>
          <w:p w14:paraId="57D459C2" w14:textId="77777777" w:rsidR="00B34E55" w:rsidRPr="00AC5ECB" w:rsidRDefault="00B34E55">
            <w:pPr>
              <w:snapToGrid w:val="0"/>
              <w:textAlignment w:val="baseline"/>
              <w:rPr>
                <w:bCs/>
                <w:sz w:val="18"/>
                <w:szCs w:val="18"/>
              </w:rPr>
            </w:pPr>
          </w:p>
        </w:tc>
        <w:tc>
          <w:tcPr>
            <w:tcW w:w="2979" w:type="dxa"/>
            <w:vMerge/>
            <w:tcBorders>
              <w:top w:val="single" w:sz="4" w:space="0" w:color="000000"/>
              <w:left w:val="single" w:sz="4" w:space="0" w:color="000000"/>
              <w:bottom w:val="single" w:sz="4" w:space="0" w:color="000000"/>
              <w:right w:val="single" w:sz="4" w:space="0" w:color="000000"/>
            </w:tcBorders>
            <w:shd w:val="clear" w:color="auto" w:fill="DBE5F1"/>
            <w:vAlign w:val="center"/>
          </w:tcPr>
          <w:p w14:paraId="57D459C3" w14:textId="77777777" w:rsidR="00B34E55" w:rsidRPr="00AC5ECB" w:rsidRDefault="00B34E55">
            <w:pPr>
              <w:snapToGrid w:val="0"/>
              <w:textAlignment w:val="baseline"/>
              <w:rPr>
                <w:bCs/>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7D459C4" w14:textId="77777777" w:rsidR="00B34E55" w:rsidRPr="00AC5ECB" w:rsidRDefault="00000000">
            <w:pPr>
              <w:jc w:val="center"/>
              <w:textAlignment w:val="baseline"/>
              <w:rPr>
                <w:bCs/>
                <w:sz w:val="18"/>
                <w:szCs w:val="18"/>
              </w:rPr>
            </w:pPr>
            <w:r w:rsidRPr="00AC5ECB">
              <w:rPr>
                <w:rFonts w:eastAsia="Calibri"/>
                <w:bCs/>
                <w:sz w:val="18"/>
                <w:szCs w:val="18"/>
              </w:rPr>
              <w:t>Asignavimų planas</w:t>
            </w:r>
          </w:p>
        </w:tc>
        <w:tc>
          <w:tcPr>
            <w:tcW w:w="110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7D459C5" w14:textId="77777777" w:rsidR="00B34E55" w:rsidRPr="00AC5ECB" w:rsidRDefault="00000000">
            <w:pPr>
              <w:jc w:val="center"/>
              <w:textAlignment w:val="baseline"/>
              <w:rPr>
                <w:bCs/>
                <w:sz w:val="18"/>
                <w:szCs w:val="18"/>
              </w:rPr>
            </w:pPr>
            <w:r w:rsidRPr="00AC5ECB">
              <w:rPr>
                <w:rFonts w:eastAsia="Calibri"/>
                <w:bCs/>
                <w:sz w:val="18"/>
                <w:szCs w:val="18"/>
              </w:rPr>
              <w:t>Patikslintas asignavimų planas</w:t>
            </w:r>
          </w:p>
        </w:tc>
        <w:tc>
          <w:tcPr>
            <w:tcW w:w="127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7D459C6" w14:textId="77777777" w:rsidR="00B34E55" w:rsidRPr="00AC5ECB" w:rsidRDefault="00000000">
            <w:pPr>
              <w:jc w:val="center"/>
              <w:textAlignment w:val="baseline"/>
              <w:rPr>
                <w:sz w:val="18"/>
                <w:szCs w:val="18"/>
              </w:rPr>
            </w:pPr>
            <w:r w:rsidRPr="00AC5ECB">
              <w:rPr>
                <w:rFonts w:eastAsia="Calibri"/>
                <w:sz w:val="18"/>
                <w:szCs w:val="18"/>
              </w:rPr>
              <w:t>Panaudota</w:t>
            </w:r>
          </w:p>
          <w:p w14:paraId="57D459C7" w14:textId="77777777" w:rsidR="00B34E55" w:rsidRPr="00AC5ECB" w:rsidRDefault="00000000">
            <w:pPr>
              <w:jc w:val="center"/>
              <w:textAlignment w:val="baseline"/>
              <w:rPr>
                <w:sz w:val="18"/>
                <w:szCs w:val="18"/>
              </w:rPr>
            </w:pPr>
            <w:r w:rsidRPr="00AC5ECB">
              <w:rPr>
                <w:rFonts w:eastAsia="Calibri"/>
                <w:sz w:val="18"/>
                <w:szCs w:val="18"/>
              </w:rPr>
              <w:t>asignavimų</w:t>
            </w:r>
          </w:p>
        </w:tc>
        <w:tc>
          <w:tcPr>
            <w:tcW w:w="2544"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7D459C8" w14:textId="77777777" w:rsidR="00B34E55" w:rsidRPr="00AC5ECB" w:rsidRDefault="00000000">
            <w:pPr>
              <w:jc w:val="center"/>
              <w:textAlignment w:val="baseline"/>
              <w:rPr>
                <w:sz w:val="18"/>
                <w:szCs w:val="18"/>
              </w:rPr>
            </w:pPr>
            <w:r w:rsidRPr="00AC5ECB">
              <w:rPr>
                <w:rFonts w:eastAsia="Calibri"/>
                <w:sz w:val="18"/>
                <w:szCs w:val="18"/>
              </w:rPr>
              <w:t>Panaudota asignavimų (proc.)</w:t>
            </w:r>
          </w:p>
        </w:tc>
      </w:tr>
      <w:tr w:rsidR="00AC5ECB" w:rsidRPr="00AC5ECB" w14:paraId="57D459D0" w14:textId="77777777" w:rsidTr="00C23E48">
        <w:trPr>
          <w:trHeight w:val="255"/>
          <w:jc w:val="center"/>
        </w:trPr>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D459CA" w14:textId="77777777" w:rsidR="00B34E55" w:rsidRPr="00AC5ECB" w:rsidRDefault="00000000">
            <w:pPr>
              <w:jc w:val="center"/>
              <w:textAlignment w:val="baseline"/>
              <w:rPr>
                <w:bCs/>
                <w:sz w:val="22"/>
                <w:szCs w:val="22"/>
              </w:rPr>
            </w:pPr>
            <w:r w:rsidRPr="00AC5ECB">
              <w:rPr>
                <w:bCs/>
                <w:sz w:val="22"/>
                <w:szCs w:val="22"/>
              </w:rPr>
              <w:t>4.1.1.4.</w:t>
            </w:r>
          </w:p>
        </w:tc>
        <w:tc>
          <w:tcPr>
            <w:tcW w:w="29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D459CB" w14:textId="77777777" w:rsidR="00B34E55" w:rsidRPr="00AC5ECB" w:rsidRDefault="00000000">
            <w:pPr>
              <w:textAlignment w:val="baseline"/>
              <w:rPr>
                <w:bCs/>
                <w:sz w:val="22"/>
                <w:szCs w:val="22"/>
              </w:rPr>
            </w:pPr>
            <w:r w:rsidRPr="00AC5ECB">
              <w:rPr>
                <w:bCs/>
                <w:sz w:val="22"/>
                <w:szCs w:val="22"/>
              </w:rPr>
              <w:t>Kontrolės ir audito tarnybos veiklos užtikrinimas</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7D459CC" w14:textId="77777777" w:rsidR="00B34E55" w:rsidRPr="00AC5ECB" w:rsidRDefault="00000000">
            <w:pPr>
              <w:jc w:val="center"/>
              <w:textAlignment w:val="baseline"/>
              <w:rPr>
                <w:sz w:val="22"/>
                <w:szCs w:val="22"/>
              </w:rPr>
            </w:pPr>
            <w:r w:rsidRPr="00AC5ECB">
              <w:rPr>
                <w:sz w:val="22"/>
                <w:szCs w:val="22"/>
              </w:rPr>
              <w:t>75,4</w:t>
            </w:r>
          </w:p>
        </w:tc>
        <w:tc>
          <w:tcPr>
            <w:tcW w:w="1105" w:type="dxa"/>
            <w:tcBorders>
              <w:top w:val="single" w:sz="4" w:space="0" w:color="000000"/>
              <w:left w:val="single" w:sz="4" w:space="0" w:color="000000"/>
              <w:bottom w:val="single" w:sz="4" w:space="0" w:color="000000"/>
              <w:right w:val="single" w:sz="4" w:space="0" w:color="000000"/>
            </w:tcBorders>
            <w:shd w:val="clear" w:color="auto" w:fill="FFFFFF"/>
          </w:tcPr>
          <w:p w14:paraId="57D459CD" w14:textId="77777777" w:rsidR="00B34E55" w:rsidRPr="00AC5ECB" w:rsidRDefault="00000000">
            <w:pPr>
              <w:jc w:val="center"/>
              <w:textAlignment w:val="baseline"/>
              <w:rPr>
                <w:sz w:val="22"/>
                <w:szCs w:val="22"/>
              </w:rPr>
            </w:pPr>
            <w:r w:rsidRPr="00AC5ECB">
              <w:rPr>
                <w:sz w:val="22"/>
                <w:szCs w:val="22"/>
              </w:rPr>
              <w:t>75,4</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Pr>
          <w:p w14:paraId="57D459CE" w14:textId="77777777" w:rsidR="00B34E55" w:rsidRPr="00AC5ECB" w:rsidRDefault="00000000">
            <w:pPr>
              <w:jc w:val="center"/>
              <w:textAlignment w:val="baseline"/>
              <w:rPr>
                <w:sz w:val="22"/>
                <w:szCs w:val="22"/>
              </w:rPr>
            </w:pPr>
            <w:r w:rsidRPr="00AC5ECB">
              <w:rPr>
                <w:sz w:val="22"/>
                <w:szCs w:val="22"/>
              </w:rPr>
              <w:t>75,3</w:t>
            </w:r>
          </w:p>
        </w:tc>
        <w:tc>
          <w:tcPr>
            <w:tcW w:w="2544" w:type="dxa"/>
            <w:tcBorders>
              <w:top w:val="single" w:sz="4" w:space="0" w:color="000000"/>
              <w:left w:val="single" w:sz="4" w:space="0" w:color="000000"/>
              <w:bottom w:val="single" w:sz="4" w:space="0" w:color="000000"/>
              <w:right w:val="single" w:sz="4" w:space="0" w:color="000000"/>
            </w:tcBorders>
            <w:shd w:val="clear" w:color="auto" w:fill="FFFFFF"/>
          </w:tcPr>
          <w:p w14:paraId="57D459CF" w14:textId="77777777" w:rsidR="00B34E55" w:rsidRPr="00AC5ECB" w:rsidRDefault="00000000">
            <w:pPr>
              <w:jc w:val="center"/>
              <w:textAlignment w:val="baseline"/>
              <w:rPr>
                <w:sz w:val="22"/>
                <w:szCs w:val="22"/>
              </w:rPr>
            </w:pPr>
            <w:r w:rsidRPr="00AC5ECB">
              <w:rPr>
                <w:sz w:val="22"/>
                <w:szCs w:val="22"/>
              </w:rPr>
              <w:t>99,9</w:t>
            </w:r>
          </w:p>
        </w:tc>
      </w:tr>
    </w:tbl>
    <w:p w14:paraId="57D459D1" w14:textId="77777777" w:rsidR="00B34E55" w:rsidRPr="00AC5ECB" w:rsidRDefault="00B34E55">
      <w:pPr>
        <w:ind w:left="284" w:hanging="284"/>
        <w:jc w:val="center"/>
        <w:textAlignment w:val="baseline"/>
        <w:rPr>
          <w:b/>
          <w:bCs/>
        </w:rPr>
      </w:pPr>
    </w:p>
    <w:p w14:paraId="57D459D2" w14:textId="77777777" w:rsidR="00B34E55" w:rsidRPr="00AC5ECB" w:rsidRDefault="00000000">
      <w:pPr>
        <w:ind w:firstLine="851"/>
        <w:jc w:val="both"/>
        <w:textAlignment w:val="baseline"/>
        <w:rPr>
          <w:b/>
          <w:bCs/>
        </w:rPr>
      </w:pPr>
      <w:r w:rsidRPr="00AC5ECB">
        <w:rPr>
          <w:rFonts w:eastAsia="Calibri"/>
          <w:bCs/>
        </w:rPr>
        <w:t>Bendras Tarnybos asignavimų planas 2023 metais netikslintas. Minimalūs patikslinimai daryti tarp ekonominės klasifikacijos straipsnių: į darbo užmokestį perkelti 475 eurai ir į kitų prekių ir paslaugų įsigijimo išlaidas – 298 eurai. Asignavimai 2023 metų Tarnybos veiklai buvo suplanuoti  tinkamai, nes panaudota 99,9 proc. biudžeto asignavimų. Daugiausiai asignavimų teko darbo užmokesčiui ir socialiniam draudimui – 96,2 proc., kvalifikacijos kėlimui – 2,3 proc., kitų prekių ir paslaugų įsigijimui – 1,1 proc. ir komandiruočių išlaidoms – 0,4 proc. visų asignavimų.</w:t>
      </w:r>
    </w:p>
    <w:p w14:paraId="1664784C" w14:textId="77777777" w:rsidR="00DF1551" w:rsidRDefault="00DF1551">
      <w:pPr>
        <w:spacing w:after="120"/>
        <w:jc w:val="both"/>
        <w:textAlignment w:val="baseline"/>
        <w:rPr>
          <w:b/>
          <w:bCs/>
        </w:rPr>
      </w:pPr>
    </w:p>
    <w:p w14:paraId="57D459D3" w14:textId="153110F6" w:rsidR="00B34E55" w:rsidRPr="00AC5ECB" w:rsidRDefault="00000000">
      <w:pPr>
        <w:spacing w:after="120"/>
        <w:jc w:val="both"/>
        <w:textAlignment w:val="baseline"/>
        <w:rPr>
          <w:b/>
          <w:bCs/>
        </w:rPr>
      </w:pPr>
      <w:r w:rsidRPr="00AC5ECB">
        <w:rPr>
          <w:b/>
          <w:bCs/>
        </w:rPr>
        <w:lastRenderedPageBreak/>
        <w:t>Kita informacija</w:t>
      </w:r>
    </w:p>
    <w:p w14:paraId="57D459D4" w14:textId="77777777" w:rsidR="00B34E55" w:rsidRPr="00AC5ECB" w:rsidRDefault="00000000">
      <w:pPr>
        <w:tabs>
          <w:tab w:val="center" w:pos="4513"/>
          <w:tab w:val="right" w:pos="9026"/>
        </w:tabs>
        <w:ind w:firstLine="851"/>
        <w:jc w:val="both"/>
      </w:pPr>
      <w:r w:rsidRPr="00AC5ECB">
        <w:t xml:space="preserve">Tarnyba yra Savivaldybių kontrolierių asociacijos (toliau – Asociacija) narė. 2023 metais dalyvavome Asociacijos rengiamuose seminaruose, pasitarimuose dėl veiklos tobulinimo, diskusijose dėl teisės aktų projektų. Nuolat bendradarbiaujame su Valstybės kontrole, kitomis  institucijomis bei kolegomis iš kitų savivaldybių kontrolės ir audito tarnybų. </w:t>
      </w:r>
    </w:p>
    <w:p w14:paraId="57D459D5" w14:textId="6730C17E" w:rsidR="00B34E55" w:rsidRPr="00AC5ECB" w:rsidRDefault="00000000">
      <w:pPr>
        <w:tabs>
          <w:tab w:val="left" w:pos="1276"/>
        </w:tabs>
        <w:ind w:firstLine="851"/>
        <w:jc w:val="both"/>
        <w:rPr>
          <w:bCs/>
        </w:rPr>
      </w:pPr>
      <w:r w:rsidRPr="00AC5ECB">
        <w:rPr>
          <w:bCs/>
        </w:rPr>
        <w:t xml:space="preserve">Vykdydami priskirtas funkcijas esame pasiruošę ir toliau dėti visas pastangas, kad auditai būtų atlikti kokybiškai, o auditų rezultatai ir teikiamos rekomendacijos būtų reikšmingi ir padėtų užtikrinti </w:t>
      </w:r>
      <w:r w:rsidR="00E67711">
        <w:rPr>
          <w:bCs/>
        </w:rPr>
        <w:t>S</w:t>
      </w:r>
      <w:r w:rsidRPr="00AC5ECB">
        <w:rPr>
          <w:bCs/>
        </w:rPr>
        <w:t xml:space="preserve">avivaldybės lėšų ir turto ekonomišką bei efektyvų valdymą. </w:t>
      </w:r>
    </w:p>
    <w:p w14:paraId="57D459D6" w14:textId="77777777" w:rsidR="00B34E55" w:rsidRPr="00AC5ECB" w:rsidRDefault="00000000">
      <w:pPr>
        <w:spacing w:after="120"/>
        <w:ind w:firstLine="851"/>
        <w:jc w:val="both"/>
        <w:textAlignment w:val="baseline"/>
      </w:pPr>
      <w:r w:rsidRPr="00AC5ECB">
        <w:t xml:space="preserve">Ataskaita parengta įgyvendinant Lietuvos Respublikos vietos savivaldos įstatymo 67 str. 9 d. 14 p. nuostatas. Ataskaita teikiama Savivaldybės tarybai ir skelbiama interneto svetainėje </w:t>
      </w:r>
      <w:hyperlink r:id="rId8">
        <w:r w:rsidRPr="00AC5ECB">
          <w:rPr>
            <w:rStyle w:val="Hipersaitas"/>
            <w:color w:val="auto"/>
          </w:rPr>
          <w:t>www.skuodas.lt</w:t>
        </w:r>
      </w:hyperlink>
      <w:r w:rsidRPr="00AC5ECB">
        <w:t>, kur su ataskaita gali susipažinti Savivaldybės bendruomenė.</w:t>
      </w:r>
    </w:p>
    <w:p w14:paraId="57D459D7" w14:textId="77777777" w:rsidR="00B34E55" w:rsidRPr="00AC5ECB" w:rsidRDefault="00B34E55">
      <w:pPr>
        <w:spacing w:after="120"/>
        <w:jc w:val="both"/>
        <w:textAlignment w:val="baseline"/>
      </w:pPr>
    </w:p>
    <w:p w14:paraId="57D459D8" w14:textId="77777777" w:rsidR="00B34E55" w:rsidRPr="00AC5ECB" w:rsidRDefault="00000000">
      <w:pPr>
        <w:spacing w:after="120"/>
        <w:jc w:val="both"/>
        <w:textAlignment w:val="baseline"/>
      </w:pPr>
      <w:bookmarkStart w:id="2" w:name="_Hlk160617087"/>
      <w:r w:rsidRPr="00AC5ECB">
        <w:t>Savivaldybės kontrolierė                                                                                                       Neringa Stasiūtė</w:t>
      </w:r>
      <w:bookmarkEnd w:id="2"/>
    </w:p>
    <w:sectPr w:rsidR="00B34E55" w:rsidRPr="00AC5ECB">
      <w:headerReference w:type="default" r:id="rId9"/>
      <w:headerReference w:type="first" r:id="rId10"/>
      <w:pgSz w:w="11906" w:h="16838"/>
      <w:pgMar w:top="1134" w:right="567" w:bottom="1134" w:left="1134"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E0CF0" w14:textId="77777777" w:rsidR="00992F08" w:rsidRDefault="00992F08">
      <w:r>
        <w:separator/>
      </w:r>
    </w:p>
  </w:endnote>
  <w:endnote w:type="continuationSeparator" w:id="0">
    <w:p w14:paraId="11913B4D" w14:textId="77777777" w:rsidR="00992F08" w:rsidRDefault="0099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宋体">
    <w:panose1 w:val="00000000000000000000"/>
    <w:charset w:val="8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Fira Sans Light">
    <w:charset w:val="00"/>
    <w:family w:val="swiss"/>
    <w:pitch w:val="variable"/>
    <w:sig w:usb0="600002FF" w:usb1="00000001" w:usb2="00000000"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68F1C" w14:textId="77777777" w:rsidR="00992F08" w:rsidRDefault="00992F08">
      <w:pPr>
        <w:rPr>
          <w:sz w:val="12"/>
        </w:rPr>
      </w:pPr>
      <w:r>
        <w:separator/>
      </w:r>
    </w:p>
  </w:footnote>
  <w:footnote w:type="continuationSeparator" w:id="0">
    <w:p w14:paraId="54A3C24A" w14:textId="77777777" w:rsidR="00992F08" w:rsidRDefault="00992F08">
      <w:pPr>
        <w:rPr>
          <w:sz w:val="12"/>
        </w:rPr>
      </w:pPr>
      <w:r>
        <w:continuationSeparator/>
      </w:r>
    </w:p>
  </w:footnote>
  <w:footnote w:id="1">
    <w:p w14:paraId="57D459E0" w14:textId="77777777" w:rsidR="00B34E55" w:rsidRDefault="00000000">
      <w:pPr>
        <w:pStyle w:val="Puslapioinaostekstas"/>
        <w:jc w:val="both"/>
      </w:pPr>
      <w:r>
        <w:rPr>
          <w:rStyle w:val="FootnoteCharacters"/>
        </w:rPr>
        <w:footnoteRef/>
      </w:r>
      <w:r>
        <w:t>Skuodo rajono savivaldybės tarybos 2022-12-22 sprendimas Nr. T9-207„Dėl Skuodo rajono savivaldybės 2022–2024 metų strateginio veiklos plano patvirtinimo“.</w:t>
      </w:r>
    </w:p>
  </w:footnote>
  <w:footnote w:id="2">
    <w:p w14:paraId="57D459E1" w14:textId="77777777" w:rsidR="00B34E55" w:rsidRDefault="00000000">
      <w:pPr>
        <w:pStyle w:val="Puslapioinaostekstas"/>
      </w:pPr>
      <w:r>
        <w:rPr>
          <w:rStyle w:val="FootnoteCharacters"/>
        </w:rPr>
        <w:footnoteRef/>
      </w:r>
      <w:r>
        <w:t xml:space="preserve"> Skuodo rajono savivaldybės tarybos 2023-06-30 sprendimas Nr. T9-123 „Dėl išmokų 2019–2023 metų kadencijos Skuodo rajono savivaldybės tarybos nariams atitikties audito atlikimo“.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59DB" w14:textId="77777777" w:rsidR="00B34E55" w:rsidRDefault="00000000">
    <w:pPr>
      <w:pStyle w:val="Antrats"/>
    </w:pPr>
    <w:r>
      <w:rPr>
        <w:noProof/>
      </w:rPr>
      <mc:AlternateContent>
        <mc:Choice Requires="wps">
          <w:drawing>
            <wp:anchor distT="0" distB="0" distL="0" distR="0" simplePos="0" relativeHeight="6" behindDoc="0" locked="0" layoutInCell="0" allowOverlap="1" wp14:anchorId="57D459DE" wp14:editId="57D459DF">
              <wp:simplePos x="0" y="0"/>
              <wp:positionH relativeFrom="margin">
                <wp:align>center</wp:align>
              </wp:positionH>
              <wp:positionV relativeFrom="paragraph">
                <wp:posOffset>635</wp:posOffset>
              </wp:positionV>
              <wp:extent cx="76835" cy="175260"/>
              <wp:effectExtent l="0" t="0" r="0" b="0"/>
              <wp:wrapSquare wrapText="largest"/>
              <wp:docPr id="1" name="Frame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57D459E2" w14:textId="77777777" w:rsidR="00B34E55" w:rsidRDefault="00000000">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6</w:t>
                          </w:r>
                          <w:r>
                            <w:rPr>
                              <w:rStyle w:val="Puslapionumeris"/>
                            </w:rPr>
                            <w:fldChar w:fldCharType="end"/>
                          </w:r>
                        </w:p>
                      </w:txbxContent>
                    </wps:txbx>
                    <wps:bodyPr lIns="0" tIns="0" rIns="0" bIns="0" anchor="t">
                      <a:noAutofit/>
                    </wps:bodyPr>
                  </wps:wsp>
                </a:graphicData>
              </a:graphic>
            </wp:anchor>
          </w:drawing>
        </mc:Choice>
        <mc:Fallback>
          <w:pict>
            <v:shapetype w14:anchorId="57D459DE" id="_x0000_t202" coordsize="21600,21600" o:spt="202" path="m,l,21600r21600,l21600,xe">
              <v:stroke joinstyle="miter"/>
              <v:path gradientshapeok="t" o:connecttype="rect"/>
            </v:shapetype>
            <v:shape id="Frame1" o:spid="_x0000_s1026" type="#_x0000_t202" style="position:absolute;margin-left:0;margin-top:.05pt;width:6.05pt;height:13.8pt;z-index: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" o:allowincell="f" stroked="f">
              <v:fill opacity="0"/>
              <v:textbox inset="0,0,0,0">
                <w:txbxContent>
                  <w:p w14:paraId="57D459E2" w14:textId="77777777" w:rsidR="00B34E55" w:rsidRDefault="00000000">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6</w:t>
                    </w:r>
                    <w:r>
                      <w:rPr>
                        <w:rStyle w:val="Puslapionumeris"/>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59DC" w14:textId="77777777" w:rsidR="00B34E55" w:rsidRDefault="00B34E55">
    <w:pPr>
      <w:pStyle w:val="Antrats"/>
      <w:jc w:val="right"/>
    </w:pPr>
  </w:p>
  <w:p w14:paraId="57D459DD" w14:textId="77777777" w:rsidR="00B34E55" w:rsidRDefault="00B34E55">
    <w:pPr>
      <w:tabs>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35FBB"/>
    <w:multiLevelType w:val="multilevel"/>
    <w:tmpl w:val="CE0668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64D420B"/>
    <w:multiLevelType w:val="multilevel"/>
    <w:tmpl w:val="BF58392A"/>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AE03494"/>
    <w:multiLevelType w:val="multilevel"/>
    <w:tmpl w:val="AD24E676"/>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D41B05"/>
    <w:multiLevelType w:val="multilevel"/>
    <w:tmpl w:val="A59A8912"/>
    <w:lvl w:ilvl="0">
      <w:start w:val="1"/>
      <w:numFmt w:val="decimal"/>
      <w:pStyle w:val="BBDPaveiksliukonumeracijai"/>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84293943">
    <w:abstractNumId w:val="0"/>
  </w:num>
  <w:num w:numId="2" w16cid:durableId="693072838">
    <w:abstractNumId w:val="3"/>
  </w:num>
  <w:num w:numId="3" w16cid:durableId="1138954613">
    <w:abstractNumId w:val="1"/>
  </w:num>
  <w:num w:numId="4" w16cid:durableId="1245721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E55"/>
    <w:rsid w:val="00063109"/>
    <w:rsid w:val="000B7C07"/>
    <w:rsid w:val="00372A95"/>
    <w:rsid w:val="00444E26"/>
    <w:rsid w:val="00456881"/>
    <w:rsid w:val="007A2141"/>
    <w:rsid w:val="00992F08"/>
    <w:rsid w:val="00AC5ECB"/>
    <w:rsid w:val="00AD5450"/>
    <w:rsid w:val="00B34E55"/>
    <w:rsid w:val="00B3631D"/>
    <w:rsid w:val="00BA7025"/>
    <w:rsid w:val="00C23E48"/>
    <w:rsid w:val="00DE290F"/>
    <w:rsid w:val="00DF1551"/>
    <w:rsid w:val="00E07349"/>
    <w:rsid w:val="00E61C17"/>
    <w:rsid w:val="00E677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45954"/>
  <w15:docId w15:val="{79218541-9D46-436C-AB18-C324A11F7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bidi="ar-SA"/>
    </w:rPr>
  </w:style>
  <w:style w:type="paragraph" w:styleId="Antrat5">
    <w:name w:val="heading 5"/>
    <w:basedOn w:val="prastasis"/>
    <w:next w:val="prastasis"/>
    <w:uiPriority w:val="9"/>
    <w:semiHidden/>
    <w:unhideWhenUsed/>
    <w:qFormat/>
    <w:pPr>
      <w:keepNext/>
      <w:keepLines/>
      <w:numPr>
        <w:ilvl w:val="4"/>
        <w:numId w:val="1"/>
      </w:numPr>
      <w:spacing w:before="40" w:line="256" w:lineRule="auto"/>
      <w:outlineLvl w:val="4"/>
    </w:pPr>
    <w:rPr>
      <w:rFonts w:ascii="Calibri Light" w:eastAsia="SimSun;宋体" w:hAnsi="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qFormat/>
    <w:rPr>
      <w:rFonts w:ascii="Times New Roman" w:hAnsi="Times New Roman" w:cs="Times New Roman"/>
      <w:b w:val="0"/>
      <w:i/>
      <w:sz w:val="24"/>
    </w:rPr>
  </w:style>
  <w:style w:type="character" w:customStyle="1" w:styleId="WW8Num4z0">
    <w:name w:val="WW8Num4z0"/>
    <w:qFormat/>
    <w:rPr>
      <w:rFonts w:ascii="Times New Roman" w:eastAsia="Times New Roman" w:hAnsi="Times New Roman" w:cs="Times New Roman"/>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style>
  <w:style w:type="character" w:customStyle="1" w:styleId="WW8Num5z4">
    <w:name w:val="WW8Num5z4"/>
    <w:qFormat/>
    <w:rPr>
      <w:rFonts w:ascii="Times New Roman" w:hAnsi="Times New Roman" w:cs="Times New Roman"/>
      <w:b/>
      <w:i/>
      <w:sz w:val="20"/>
      <w:szCs w:val="20"/>
    </w:rPr>
  </w:style>
  <w:style w:type="character" w:customStyle="1" w:styleId="WW8Num6z0">
    <w:name w:val="WW8Num6z0"/>
    <w:qFormat/>
    <w:rPr>
      <w:rFonts w:ascii="Wingdings" w:hAnsi="Wingdings" w:cs="Wingdings"/>
    </w:rPr>
  </w:style>
  <w:style w:type="character" w:customStyle="1" w:styleId="WW8Num6z1">
    <w:name w:val="WW8Num6z1"/>
    <w:qFormat/>
    <w:rPr>
      <w:rFonts w:ascii="Courier New" w:hAnsi="Courier New" w:cs="Courier New"/>
    </w:rPr>
  </w:style>
  <w:style w:type="character" w:customStyle="1" w:styleId="WW8Num6z3">
    <w:name w:val="WW8Num6z3"/>
    <w:qFormat/>
    <w:rPr>
      <w:rFonts w:ascii="Symbol" w:hAnsi="Symbol" w:cs="Symbol"/>
    </w:rPr>
  </w:style>
  <w:style w:type="character" w:customStyle="1" w:styleId="WW8Num7z0">
    <w:name w:val="WW8Num7z0"/>
    <w:qFormat/>
    <w:rPr>
      <w:b w:val="0"/>
      <w:i w:val="0"/>
    </w:rPr>
  </w:style>
  <w:style w:type="character" w:customStyle="1" w:styleId="WW8Num8z0">
    <w:name w:val="WW8Num8z0"/>
    <w:qFormat/>
    <w:rPr>
      <w:rFonts w:ascii="Wingdings" w:hAnsi="Wingdings" w:cs="Wingdings"/>
    </w:rPr>
  </w:style>
  <w:style w:type="character" w:customStyle="1" w:styleId="WW8Num8z1">
    <w:name w:val="WW8Num8z1"/>
    <w:qFormat/>
    <w:rPr>
      <w:rFonts w:ascii="Courier New" w:hAnsi="Courier New" w:cs="Courier New"/>
    </w:rPr>
  </w:style>
  <w:style w:type="character" w:customStyle="1" w:styleId="WW8Num8z3">
    <w:name w:val="WW8Num8z3"/>
    <w:qFormat/>
    <w:rPr>
      <w:rFonts w:ascii="Symbol" w:hAnsi="Symbol" w:cs="Symbol"/>
    </w:rPr>
  </w:style>
  <w:style w:type="character" w:customStyle="1" w:styleId="WW8Num10z0">
    <w:name w:val="WW8Num10z0"/>
    <w:qFormat/>
    <w:rPr>
      <w:rFonts w:ascii="Wingdings" w:hAnsi="Wingdings" w:cs="Wingdings"/>
    </w:rPr>
  </w:style>
  <w:style w:type="character" w:customStyle="1" w:styleId="WW8Num10z1">
    <w:name w:val="WW8Num10z1"/>
    <w:qFormat/>
    <w:rPr>
      <w:rFonts w:ascii="Courier New" w:hAnsi="Courier New" w:cs="Courier New"/>
    </w:rPr>
  </w:style>
  <w:style w:type="character" w:customStyle="1" w:styleId="WW8Num10z3">
    <w:name w:val="WW8Num10z3"/>
    <w:qFormat/>
    <w:rPr>
      <w:rFonts w:ascii="Symbol" w:hAnsi="Symbol" w:cs="Symbol"/>
    </w:rPr>
  </w:style>
  <w:style w:type="character" w:customStyle="1" w:styleId="WW8Num11z0">
    <w:name w:val="WW8Num11z0"/>
    <w:qFormat/>
  </w:style>
  <w:style w:type="character" w:customStyle="1" w:styleId="WW8Num12z0">
    <w:name w:val="WW8Num12z0"/>
    <w:qFormat/>
    <w:rPr>
      <w:rFonts w:ascii="Times New Roman" w:hAnsi="Times New Roman" w:cs="Times New Roman"/>
      <w:b w:val="0"/>
      <w:i/>
      <w:sz w:val="24"/>
    </w:rPr>
  </w:style>
  <w:style w:type="character" w:customStyle="1" w:styleId="PavNRDiagrama">
    <w:name w:val="Pav NR Diagrama"/>
    <w:qFormat/>
    <w:rPr>
      <w:sz w:val="24"/>
      <w:szCs w:val="24"/>
      <w:lang w:val="en-US"/>
    </w:rPr>
  </w:style>
  <w:style w:type="character" w:customStyle="1" w:styleId="LentelsNRDiagrama">
    <w:name w:val="Lentelės NR. Diagrama"/>
    <w:qFormat/>
    <w:rPr>
      <w:i/>
      <w:color w:val="BFBFBF"/>
      <w:sz w:val="24"/>
      <w:szCs w:val="24"/>
    </w:rPr>
  </w:style>
  <w:style w:type="character" w:customStyle="1" w:styleId="LentelsNrDiagrama0">
    <w:name w:val="Lentelės Nr. Diagrama"/>
    <w:qFormat/>
    <w:rPr>
      <w:i/>
      <w:sz w:val="24"/>
      <w:szCs w:val="24"/>
    </w:rPr>
  </w:style>
  <w:style w:type="character" w:customStyle="1" w:styleId="BBDPaveiksliukonumeracijaiDiagrama">
    <w:name w:val="BBD_Paveiksliuko numeracijai Diagrama"/>
    <w:qFormat/>
    <w:rPr>
      <w:rFonts w:ascii="Times New Roman" w:eastAsia="Times New Roman" w:hAnsi="Times New Roman" w:cs="Times New Roman"/>
      <w:i/>
      <w:color w:val="1F4D78"/>
      <w:sz w:val="20"/>
    </w:rPr>
  </w:style>
  <w:style w:type="character" w:customStyle="1" w:styleId="Antrat5Diagrama">
    <w:name w:val="Antraštė 5 Diagrama"/>
    <w:qFormat/>
    <w:rPr>
      <w:rFonts w:ascii="Calibri Light" w:eastAsia="SimSun;宋体" w:hAnsi="Calibri Light" w:cs="Times New Roman"/>
      <w:color w:val="2E74B5"/>
    </w:rPr>
  </w:style>
  <w:style w:type="character" w:customStyle="1" w:styleId="AntratsDiagrama">
    <w:name w:val="Antraštės Diagrama"/>
    <w:qFormat/>
    <w:rPr>
      <w:rFonts w:ascii="Times New Roman" w:eastAsia="Times New Roman" w:hAnsi="Times New Roman" w:cs="Times New Roman"/>
      <w:sz w:val="24"/>
      <w:szCs w:val="24"/>
    </w:rPr>
  </w:style>
  <w:style w:type="character" w:styleId="Puslapionumeris">
    <w:name w:val="page number"/>
    <w:basedOn w:val="Numatytasispastraiposriftas"/>
  </w:style>
  <w:style w:type="character" w:customStyle="1" w:styleId="PoratDiagrama">
    <w:name w:val="Poraštė Diagrama"/>
    <w:qFormat/>
    <w:rPr>
      <w:rFonts w:ascii="Times New Roman" w:eastAsia="Times New Roman" w:hAnsi="Times New Roman" w:cs="Times New Roman"/>
      <w:sz w:val="24"/>
      <w:szCs w:val="24"/>
    </w:rPr>
  </w:style>
  <w:style w:type="character" w:customStyle="1" w:styleId="PuslapioinaostekstasDiagrama">
    <w:name w:val="Puslapio išnašos tekstas Diagrama"/>
    <w:qFormat/>
    <w:rPr>
      <w:rFonts w:ascii="Times New Roman" w:eastAsia="Times New Roman" w:hAnsi="Times New Roman" w:cs="Times New Roman"/>
      <w:sz w:val="20"/>
      <w:szCs w:val="20"/>
    </w:rPr>
  </w:style>
  <w:style w:type="character" w:customStyle="1" w:styleId="FootnoteCharacters">
    <w:name w:val="Footnote Characters"/>
    <w:qFormat/>
    <w:rPr>
      <w:vertAlign w:val="superscript"/>
    </w:rPr>
  </w:style>
  <w:style w:type="character" w:customStyle="1" w:styleId="DebesliotekstasDiagrama">
    <w:name w:val="Debesėlio tekstas Diagrama"/>
    <w:qFormat/>
    <w:rPr>
      <w:rFonts w:ascii="Segoe UI" w:eastAsia="Times New Roman" w:hAnsi="Segoe UI" w:cs="Segoe UI"/>
      <w:sz w:val="18"/>
      <w:szCs w:val="18"/>
    </w:rPr>
  </w:style>
  <w:style w:type="character" w:customStyle="1" w:styleId="PagrindinistekstasDiagrama">
    <w:name w:val="Pagrindinis tekstas Diagrama"/>
    <w:qFormat/>
    <w:rPr>
      <w:rFonts w:ascii="Times New Roman" w:eastAsia="Times New Roman" w:hAnsi="Times New Roman" w:cs="Times New Roman"/>
      <w:sz w:val="24"/>
      <w:szCs w:val="24"/>
    </w:rPr>
  </w:style>
  <w:style w:type="character" w:customStyle="1" w:styleId="TekstasDiagrama">
    <w:name w:val="Tekstas Diagrama"/>
    <w:qFormat/>
    <w:rPr>
      <w:rFonts w:ascii="Fira Sans Light" w:eastAsia="SimSun;宋体" w:hAnsi="Fira Sans Light" w:cs="Segoe UI"/>
      <w:color w:val="000000"/>
      <w:sz w:val="20"/>
      <w:szCs w:val="20"/>
    </w:rPr>
  </w:style>
  <w:style w:type="character" w:styleId="Hipersaitas">
    <w:name w:val="Hyperlink"/>
    <w:rPr>
      <w:color w:val="0563C1"/>
      <w:u w:val="single"/>
    </w:rPr>
  </w:style>
  <w:style w:type="character" w:styleId="Neapdorotaspaminjimas">
    <w:name w:val="Unresolved Mention"/>
    <w:qFormat/>
    <w:rPr>
      <w:color w:val="605E5C"/>
      <w:shd w:val="clear" w:color="auto" w:fill="E1DFDD"/>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Index">
    <w:name w:val="Index"/>
    <w:basedOn w:val="prastasis"/>
    <w:qFormat/>
    <w:pPr>
      <w:suppressLineNumbers/>
    </w:pPr>
    <w:rPr>
      <w:rFonts w:cs="Lucida Sans"/>
    </w:rPr>
  </w:style>
  <w:style w:type="paragraph" w:styleId="Sraassunumeriais">
    <w:name w:val="List Number"/>
    <w:basedOn w:val="prastasis"/>
    <w:qFormat/>
    <w:pPr>
      <w:spacing w:after="160" w:line="256" w:lineRule="auto"/>
      <w:ind w:left="360" w:hanging="360"/>
      <w:contextualSpacing/>
    </w:pPr>
    <w:rPr>
      <w:rFonts w:ascii="Calibri" w:eastAsia="Calibri" w:hAnsi="Calibri"/>
      <w:sz w:val="22"/>
      <w:szCs w:val="22"/>
    </w:rPr>
  </w:style>
  <w:style w:type="paragraph" w:customStyle="1" w:styleId="PavNR">
    <w:name w:val="Pav NR"/>
    <w:basedOn w:val="Sraassunumeriais"/>
    <w:qFormat/>
    <w:pPr>
      <w:widowControl w:val="0"/>
      <w:numPr>
        <w:numId w:val="4"/>
      </w:numPr>
      <w:spacing w:after="0" w:line="240" w:lineRule="atLeast"/>
      <w:jc w:val="center"/>
    </w:pPr>
    <w:rPr>
      <w:sz w:val="24"/>
      <w:szCs w:val="24"/>
      <w:lang w:val="en-US"/>
    </w:rPr>
  </w:style>
  <w:style w:type="paragraph" w:customStyle="1" w:styleId="LentelsNR0">
    <w:name w:val="Lentelės NR."/>
    <w:basedOn w:val="prastasis"/>
    <w:qFormat/>
    <w:pPr>
      <w:widowControl w:val="0"/>
      <w:spacing w:after="120" w:line="240" w:lineRule="atLeast"/>
      <w:ind w:left="360" w:hanging="360"/>
      <w:jc w:val="both"/>
    </w:pPr>
    <w:rPr>
      <w:rFonts w:ascii="Calibri" w:eastAsia="Calibri" w:hAnsi="Calibri"/>
      <w:i/>
      <w:color w:val="BFBFBF"/>
    </w:rPr>
  </w:style>
  <w:style w:type="paragraph" w:customStyle="1" w:styleId="LentelsNr">
    <w:name w:val="Lentelės Nr."/>
    <w:basedOn w:val="prastasis"/>
    <w:qFormat/>
    <w:pPr>
      <w:numPr>
        <w:numId w:val="3"/>
      </w:numPr>
      <w:spacing w:line="276" w:lineRule="auto"/>
      <w:ind w:hanging="360"/>
      <w:jc w:val="both"/>
    </w:pPr>
    <w:rPr>
      <w:rFonts w:ascii="Calibri" w:eastAsia="Calibri" w:hAnsi="Calibri"/>
      <w:i/>
    </w:rPr>
  </w:style>
  <w:style w:type="paragraph" w:customStyle="1" w:styleId="BBDPaveiksliukonumeracijai">
    <w:name w:val="BBD_Paveiksliuko numeracijai"/>
    <w:basedOn w:val="Antrat5"/>
    <w:qFormat/>
    <w:pPr>
      <w:numPr>
        <w:ilvl w:val="0"/>
        <w:numId w:val="2"/>
      </w:numPr>
      <w:spacing w:before="120" w:after="240" w:line="240" w:lineRule="auto"/>
      <w:ind w:left="1135" w:hanging="567"/>
      <w:jc w:val="center"/>
      <w:outlineLvl w:val="9"/>
    </w:pPr>
    <w:rPr>
      <w:rFonts w:ascii="Times New Roman" w:eastAsia="Times New Roman" w:hAnsi="Times New Roman"/>
      <w:i/>
      <w:color w:val="1F4D78"/>
      <w:sz w:val="20"/>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Porat">
    <w:name w:val="footer"/>
    <w:basedOn w:val="prastasis"/>
  </w:style>
  <w:style w:type="paragraph" w:styleId="Puslapioinaostekstas">
    <w:name w:val="footnote text"/>
    <w:basedOn w:val="prastasis"/>
    <w:rPr>
      <w:sz w:val="20"/>
      <w:szCs w:val="20"/>
    </w:rPr>
  </w:style>
  <w:style w:type="paragraph" w:styleId="Debesliotekstas">
    <w:name w:val="Balloon Text"/>
    <w:basedOn w:val="prastasis"/>
    <w:qFormat/>
    <w:rPr>
      <w:rFonts w:ascii="Segoe UI" w:hAnsi="Segoe UI" w:cs="Segoe UI"/>
      <w:sz w:val="18"/>
      <w:szCs w:val="18"/>
    </w:rPr>
  </w:style>
  <w:style w:type="paragraph" w:customStyle="1" w:styleId="Tekstas">
    <w:name w:val="Tekstas"/>
    <w:basedOn w:val="prastasis"/>
    <w:qFormat/>
    <w:pPr>
      <w:spacing w:before="200" w:line="288" w:lineRule="auto"/>
      <w:jc w:val="both"/>
    </w:pPr>
    <w:rPr>
      <w:rFonts w:ascii="Fira Sans Light" w:eastAsia="SimSun;宋体" w:hAnsi="Fira Sans Light" w:cs="Segoe UI"/>
      <w:color w:val="000000"/>
      <w:sz w:val="20"/>
      <w:szCs w:val="20"/>
    </w:rPr>
  </w:style>
  <w:style w:type="paragraph" w:styleId="Pataisymai">
    <w:name w:val="Revision"/>
    <w:qFormat/>
    <w:rPr>
      <w:rFonts w:ascii="Times New Roman" w:eastAsia="Times New Roman" w:hAnsi="Times New Roman" w:cs="Times New Roman"/>
      <w:lang w:bidi="ar-SA"/>
    </w:rPr>
  </w:style>
  <w:style w:type="paragraph" w:styleId="Sraopastraipa">
    <w:name w:val="List Paragraph"/>
    <w:basedOn w:val="prastasis"/>
    <w:qFormat/>
    <w:pPr>
      <w:ind w:left="720"/>
      <w:contextualSpacing/>
    </w:pPr>
  </w:style>
  <w:style w:type="paragraph" w:customStyle="1" w:styleId="TableContents">
    <w:name w:val="Table Contents"/>
    <w:basedOn w:val="prastasis"/>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prastasis"/>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3" Type="http://schemas.openxmlformats.org/officeDocument/2006/relationships/settings" Target="settings.xml"/><Relationship Id="rId7" Type="http://schemas.openxmlformats.org/officeDocument/2006/relationships/hyperlink" Target="http://www.skuodas.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12742</Words>
  <Characters>7263</Characters>
  <Application>Microsoft Office Word</Application>
  <DocSecurity>0</DocSecurity>
  <Lines>60</Lines>
  <Paragraphs>39</Paragraphs>
  <ScaleCrop>false</ScaleCrop>
  <HeadingPairs>
    <vt:vector size="2" baseType="variant">
      <vt:variant>
        <vt:lpstr>Pavadinimas</vt:lpstr>
      </vt:variant>
      <vt:variant>
        <vt:i4>1</vt:i4>
      </vt:variant>
    </vt:vector>
  </HeadingPairs>
  <TitlesOfParts>
    <vt:vector size="1" baseType="lpstr">
      <vt:lpstr>DĖL SKUODO RAJONO SAVIVALDYBĖS KONTROLĖS IR AUDITO TARNYBOS 2022 METŲ VEIKLOS ATASKAITOS PATVIRTINIMO (PRIEDAS)</vt:lpstr>
    </vt:vector>
  </TitlesOfParts>
  <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KONTROLĖS IR AUDITO TARNYBOS 2022 METŲ VEIKLOS ATASKAITOS PATVIRTINIMO (PRIEDAS)</dc:title>
  <dc:subject>T9-64</dc:subject>
  <dc:creator>SKUODO RAJONO SAVIVALDYBĖS TARYBA</dc:creator>
  <cp:lastModifiedBy>Sadauskienė, Dalia</cp:lastModifiedBy>
  <cp:revision>3</cp:revision>
  <cp:lastPrinted>2020-02-10T09:20:00Z</cp:lastPrinted>
  <dcterms:created xsi:type="dcterms:W3CDTF">2024-03-19T07:22:00Z</dcterms:created>
  <dcterms:modified xsi:type="dcterms:W3CDTF">2024-03-19T09:38:00Z</dcterms:modified>
  <dc:language>lt-LT</dc:language>
</cp:coreProperties>
</file>